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42 DEL 6 NOVEMBRE 2017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73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AS1441 - PROCEDURE PER L'AFFIDAMENTO DIRETTO DEI SERVIZI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TRASPORTO FERROVIARIO REGIONALE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Roma, 31 ottobre 2017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Regioni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Provincia Autonoma di Trento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Provincia Autonoma di Bolzano - Alto Adige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Conferenza Unificata Stato Regioni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Ministero delle Infrastrutture e dei Trasporti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Ministero dell’Economa e delle Finanze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 xml:space="preserve">Oggetto: </w:t>
      </w:r>
      <w:bookmarkStart w:id="0" w:name="_GoBack"/>
      <w:r>
        <w:rPr>
          <w:rFonts w:ascii="Times-Bold" w:hAnsi="Times-Bold" w:cs="Times-Bold"/>
          <w:b/>
          <w:bCs/>
          <w:sz w:val="20"/>
          <w:szCs w:val="20"/>
        </w:rPr>
        <w:t>procedure per l’affidamento diretto dei servizi di trasporto ferroviario regionale</w:t>
      </w:r>
      <w:bookmarkEnd w:id="0"/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Nello svolgimento delle attività istituzionali dell’Autorità Garante della Concorrenza e del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Mercato (AGCM), dell’Autorità Nazionale Anticorruzione (ANAC) e dell’Autorità di Regolazione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dei Trasporti (ART), è emersa l’opportunità di fornire indicazioni congiunte in tema di procedure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per l’affidamento diretto del servizio di trasporto pubblico regionale ferroviario da parte degli Enti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territoriali competenti (di seguito, “autorità competenti” o “enti affidanti”).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Visti gli artt. 22 della legge 10 ottobre 1990, n. 287, 2, comma 6, della legge 14 novembre 1995, n.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481, 213, commi 2 e 3, del decreto legislativo 18 aprile 2016 n. 50, e 37, comma 3, lettera </w:t>
      </w:r>
      <w:r>
        <w:rPr>
          <w:rFonts w:ascii="Times-Italic" w:hAnsi="Times-Italic" w:cs="Times-Italic"/>
          <w:i/>
          <w:iCs/>
          <w:sz w:val="20"/>
          <w:szCs w:val="20"/>
        </w:rPr>
        <w:t>a</w:t>
      </w:r>
      <w:r>
        <w:rPr>
          <w:rFonts w:ascii="Times-Roman" w:hAnsi="Times-Roman" w:cs="Times-Roman"/>
          <w:sz w:val="20"/>
          <w:szCs w:val="20"/>
        </w:rPr>
        <w:t>), del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decreto legge 6 dicembre 2011, n. 201, l’AGCM, l’ANAC e l’ART, ciascuna per i profili di propria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competenza, intendono pertanto formulare le seguenti considerazioni sull’interpretazione e la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definizione della disciplina applicabile alle procedure di affidamento diretto del servizio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trasporto pubblico regionale ferroviario.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1. La disciplina applicabile agli affidamenti del servizio di trasporto pubblico regionale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ferroviario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Ai sensi dell’art. 18, comma 1, lettera </w:t>
      </w:r>
      <w:r>
        <w:rPr>
          <w:rFonts w:ascii="Times-Italic" w:hAnsi="Times-Italic" w:cs="Times-Italic"/>
          <w:i/>
          <w:iCs/>
          <w:sz w:val="20"/>
          <w:szCs w:val="20"/>
        </w:rPr>
        <w:t>a</w:t>
      </w:r>
      <w:r>
        <w:rPr>
          <w:rFonts w:ascii="Times-Roman" w:hAnsi="Times-Roman" w:cs="Times-Roman"/>
          <w:sz w:val="20"/>
          <w:szCs w:val="20"/>
        </w:rPr>
        <w:t>), del citato d.lgs. n. 50/2016 (di seguito, “Codice dei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contratti pubblici”) sono esclusi dall’applicazione dello stesso le concessioni di servizi di trasporto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pubblico di passeggeri ai sensi del Regolamento (CE) n. 1370/2007 del 23 ottobre 2007 (di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seguito, “Regolamento”). Ciò è peraltro ribadito anche dall’art. 17, comma 1, lettera </w:t>
      </w:r>
      <w:r>
        <w:rPr>
          <w:rFonts w:ascii="Times-Italic" w:hAnsi="Times-Italic" w:cs="Times-Italic"/>
          <w:i/>
          <w:iCs/>
          <w:sz w:val="20"/>
          <w:szCs w:val="20"/>
        </w:rPr>
        <w:t>i</w:t>
      </w:r>
      <w:r>
        <w:rPr>
          <w:rFonts w:ascii="Times-Roman" w:hAnsi="Times-Roman" w:cs="Times-Roman"/>
          <w:sz w:val="20"/>
          <w:szCs w:val="20"/>
        </w:rPr>
        <w:t>), del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medesimo Codice, che esclude i servizi di trasporto pubblico di passeggeri per ferrovia 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metropolitana.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L’affidamento dei servizi di trasporto pubblico di passeggeri per ferrovia è, pertanto, disciplinato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dagli artt. 5 e 7 del Regolamento.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42 DEL 6 NOVEMBRE 2017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74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particolare, l’art. 5, par. 3, prevede che il servizio sia affidato tramite procedure ad evidenza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pubblica: “</w:t>
      </w:r>
      <w:r>
        <w:rPr>
          <w:rFonts w:ascii="Times-Italic" w:hAnsi="Times-Italic" w:cs="Times-Italic"/>
          <w:i/>
          <w:iCs/>
          <w:sz w:val="20"/>
          <w:szCs w:val="20"/>
        </w:rPr>
        <w:t>La procedura di gara è equa, aperta a tutti gli operatori e rispetta i principi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trasparenza e di non discriminazione. Dopo la presentazione delle offerte e un’eventuale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preselezione, il procedimento può dar luogo a negoziati, nel rispetto dei suddetti principi, allo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scopo di determinare il modo migliore per soddisfare requisiti elementari o complessi</w:t>
      </w:r>
      <w:r>
        <w:rPr>
          <w:rFonts w:ascii="Times-Roman" w:hAnsi="Times-Roman" w:cs="Times-Roman"/>
          <w:sz w:val="20"/>
          <w:szCs w:val="20"/>
        </w:rPr>
        <w:t>”.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Nonostante il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favor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per il ricorso alle procedure ad evidenza pubblica che caratterizza l’intero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impianto del Regolamento</w:t>
      </w:r>
      <w:r>
        <w:rPr>
          <w:rFonts w:ascii="Times-Roman" w:hAnsi="Times-Roman" w:cs="Times-Roman"/>
          <w:sz w:val="18"/>
          <w:szCs w:val="18"/>
        </w:rPr>
        <w:t>1</w:t>
      </w:r>
      <w:r>
        <w:rPr>
          <w:rFonts w:ascii="Times-Roman" w:hAnsi="Times-Roman" w:cs="Times-Roman"/>
          <w:sz w:val="20"/>
          <w:szCs w:val="20"/>
        </w:rPr>
        <w:t xml:space="preserve">, la gestione diretta, l’affidamento </w:t>
      </w:r>
      <w:r>
        <w:rPr>
          <w:rFonts w:ascii="Times-Italic" w:hAnsi="Times-Italic" w:cs="Times-Italic"/>
          <w:i/>
          <w:iCs/>
          <w:sz w:val="20"/>
          <w:szCs w:val="20"/>
        </w:rPr>
        <w:t>in-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house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del servizio (v. l’art. 5, par.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2), e l’affidamento diretto (v. l’art. 5, par. 6) costituiscono ulteriori modalità organizzative che, in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deroga alle procedure di gara, le autorità competenti possono liberamente scegliere per affidare il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servizio di trasporto pubblico tramite ferrovia</w:t>
      </w:r>
      <w:r>
        <w:rPr>
          <w:rFonts w:ascii="Times-Roman" w:hAnsi="Times-Roman" w:cs="Times-Roman"/>
          <w:sz w:val="18"/>
          <w:szCs w:val="18"/>
        </w:rPr>
        <w:t>2</w:t>
      </w:r>
      <w:r>
        <w:rPr>
          <w:rFonts w:ascii="Times-Roman" w:hAnsi="Times-Roman" w:cs="Times-Roman"/>
          <w:sz w:val="20"/>
          <w:szCs w:val="20"/>
        </w:rPr>
        <w:t>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La scelta di derogare al principio dell’evidenza pubblica e, in particolare, di procedere ad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affidamento diretto è, cionondimeno, presidiata da alcuni specifici obblighi di legge di natura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informativa e motivazionale</w:t>
      </w:r>
      <w:r>
        <w:rPr>
          <w:rFonts w:ascii="Times-Roman" w:hAnsi="Times-Roman" w:cs="Times-Roman"/>
          <w:sz w:val="18"/>
          <w:szCs w:val="18"/>
        </w:rPr>
        <w:t>3</w:t>
      </w:r>
      <w:r>
        <w:rPr>
          <w:rFonts w:ascii="Times-Roman" w:hAnsi="Times-Roman" w:cs="Times-Roman"/>
          <w:sz w:val="20"/>
          <w:szCs w:val="20"/>
        </w:rPr>
        <w:t>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L’art. 7, par. 2, del Regolamento prevede, infatti, che almeno un anno prima di procedere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all’affidamento del servizio, indipendentemente dalla procedura di aggiudicazione scelta, l’autorità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competente deve pubblicare un avviso di </w:t>
      </w:r>
      <w:proofErr w:type="spellStart"/>
      <w:r>
        <w:rPr>
          <w:rFonts w:ascii="Times-Roman" w:hAnsi="Times-Roman" w:cs="Times-Roman"/>
          <w:sz w:val="20"/>
          <w:szCs w:val="20"/>
        </w:rPr>
        <w:t>pre</w:t>
      </w:r>
      <w:proofErr w:type="spellEnd"/>
      <w:r>
        <w:rPr>
          <w:rFonts w:ascii="Times-Roman" w:hAnsi="Times-Roman" w:cs="Times-Roman"/>
          <w:sz w:val="20"/>
          <w:szCs w:val="20"/>
        </w:rPr>
        <w:t>-informazione nella Gazzetta Ufficiale dell’Unione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europea, nel quale sono indicati il nome e l’indirizzo dell’autorità, il tipo di aggiudicazione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previsto e i servizi e territori potenzialmente interessati dall’aggiudicazione.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Inoltre, ai sensi dell’art. 7, par. 3, del Regolamento, la medesima autorità competente in caso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aggiudicazione diretta del servizio rende pubbliche le seguenti informazioni entro un anno dalla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concessione: il nome dell’ente aggiudicatore, il suo assetto proprietario, la durata del contratto, la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descrizione dei servizi e dei parametri per la compensazione finanziaria, gli obiettivi di qualità e 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condizioni relative ai beni essenziali.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Infine, l’art. 7, par. 4, del Regolamento stabilisce che, quando è richiesto da una parte interessata,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l’autorità competente trasmette alla stessa la motivazione della sua decisione in merito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all’aggiudicazione diretta del contratto di servizio.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Proprio con lo scopo di assicurare il rispetto della disciplina europea, l’art. 34, comma 20, del </w:t>
      </w:r>
      <w:proofErr w:type="spellStart"/>
      <w:r>
        <w:rPr>
          <w:rFonts w:ascii="Times-Roman" w:hAnsi="Times-Roman" w:cs="Times-Roman"/>
          <w:sz w:val="20"/>
          <w:szCs w:val="20"/>
        </w:rPr>
        <w:t>d.l.</w:t>
      </w:r>
      <w:proofErr w:type="spellEnd"/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n. 179/2012, ha stabilito che l'affidamento del servizio è effettuato sulla base di apposita relazione,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pubblicata sul sito internet dell’ente affidante, in cui sono illustrate le ragioni e la sussistenza dei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requisiti previsti dall'ordinamento comunitario per la forma di affidamento prescelta.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caso di affidamento diretto (e valutazioni identiche possono essere formulate nel caso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affidamento </w:t>
      </w:r>
      <w:r>
        <w:rPr>
          <w:rFonts w:ascii="Times-Italic" w:hAnsi="Times-Italic" w:cs="Times-Italic"/>
          <w:i/>
          <w:iCs/>
          <w:sz w:val="20"/>
          <w:szCs w:val="20"/>
        </w:rPr>
        <w:t>in-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house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), la pubblicazione dell’avviso di </w:t>
      </w:r>
      <w:proofErr w:type="spellStart"/>
      <w:r>
        <w:rPr>
          <w:rFonts w:ascii="Times-Roman" w:hAnsi="Times-Roman" w:cs="Times-Roman"/>
          <w:sz w:val="20"/>
          <w:szCs w:val="20"/>
        </w:rPr>
        <w:t>pre</w:t>
      </w:r>
      <w:proofErr w:type="spellEnd"/>
      <w:r>
        <w:rPr>
          <w:rFonts w:ascii="Times-Roman" w:hAnsi="Times-Roman" w:cs="Times-Roman"/>
          <w:sz w:val="20"/>
          <w:szCs w:val="20"/>
        </w:rPr>
        <w:t>-informazione e delle informazioni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relative all’avvenuta concessione e la motivazione della scelta dell’affidamento diretto in luogo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1 Tale </w:t>
      </w:r>
      <w:proofErr w:type="spellStart"/>
      <w:r>
        <w:rPr>
          <w:rFonts w:ascii="Times-Italic" w:hAnsi="Times-Italic" w:cs="Times-Italic"/>
          <w:i/>
          <w:iCs/>
          <w:sz w:val="16"/>
          <w:szCs w:val="16"/>
        </w:rPr>
        <w:t>favor</w:t>
      </w:r>
      <w:proofErr w:type="spellEnd"/>
      <w:r>
        <w:rPr>
          <w:rFonts w:ascii="Times-Italic" w:hAnsi="Times-Italic" w:cs="Times-Italic"/>
          <w:i/>
          <w:iCs/>
          <w:sz w:val="16"/>
          <w:szCs w:val="16"/>
        </w:rPr>
        <w:t xml:space="preserve"> </w:t>
      </w:r>
      <w:r>
        <w:rPr>
          <w:rFonts w:ascii="Times-Roman" w:hAnsi="Times-Roman" w:cs="Times-Roman"/>
          <w:sz w:val="16"/>
          <w:szCs w:val="16"/>
        </w:rPr>
        <w:t>si rinviene anche nel Regolamento (UE) n. 2338/2016 del 14 dicembre 2016 che modifica il Regolamento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(CE) n. 1370/2007 relativamente all’apertura del mercato dei servizi di trasporto ferroviario nazionale di passeggeri, la cui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entrata in vigore è stata fissata il 24 dicembre 2017, e in ispecie nel Considerando 19 afferma che “</w:t>
      </w:r>
      <w:r>
        <w:rPr>
          <w:rFonts w:ascii="Times-Italic" w:hAnsi="Times-Italic" w:cs="Times-Italic"/>
          <w:i/>
          <w:iCs/>
          <w:sz w:val="16"/>
          <w:szCs w:val="16"/>
        </w:rPr>
        <w:t>[i] contratti di servizio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pubblico inerenti ai servizi di trasporto pubblico ferroviario di passeggeri dovrebbero essere aggiudicati mediante una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procedura di gara, ad eccezione dei casi previsti dal presente regolamento</w:t>
      </w:r>
      <w:r>
        <w:rPr>
          <w:rFonts w:ascii="Times-Roman" w:hAnsi="Times-Roman" w:cs="Times-Roman"/>
          <w:sz w:val="16"/>
          <w:szCs w:val="16"/>
        </w:rPr>
        <w:t>”.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2 Si ritiene, infatti, che anche per le concessioni di trasporto pubblico locale valga il principio, di applicazione generale,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libera amministrazione delle autorità pubbliche di cui all’art. 166 del Codice dei contratti pubblici. Pertanto, 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amministrazioni sono libere di scegliere la procedura che ritengono più opportuna per l’affidamento del servizio.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3 Tale orientamento è rinvenibile, in forma anche più marcata, nel citato Regolamento (UE) n. 2338/2016, che all’art. 1,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comma 5, con esclusivo riferimento al trasporto pubblico ferroviario di passeggeri, indica i casi in cui, in via eccezionale,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l’autorità competente ha la facoltà di aggiudicare direttamente i contratti di servizio pubblico, qualora non sia vietato dalla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legislazione nazionale (v. meglio </w:t>
      </w:r>
      <w:r>
        <w:rPr>
          <w:rFonts w:ascii="Times-Italic" w:hAnsi="Times-Italic" w:cs="Times-Italic"/>
          <w:i/>
          <w:iCs/>
          <w:sz w:val="16"/>
          <w:szCs w:val="16"/>
        </w:rPr>
        <w:t>infra</w:t>
      </w:r>
      <w:r>
        <w:rPr>
          <w:rFonts w:ascii="Times-Roman" w:hAnsi="Times-Roman" w:cs="Times-Roman"/>
          <w:sz w:val="16"/>
          <w:szCs w:val="16"/>
        </w:rPr>
        <w:t>).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42 DEL 6 NOVEMBRE 2017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75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della gara non esauriscono gli obblighi gravanti in capo agli enti affidanti; su di essi, infatti, grava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anche l’obbligo di operare un confronto competitivo tra le offerte giunte da altri operatori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interessati e quella del soggetto al quale si intende affidare il servizio per via diretta (o comunque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di effettuare un confronto con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benchmark </w:t>
      </w:r>
      <w:r>
        <w:rPr>
          <w:rFonts w:ascii="Times-Roman" w:hAnsi="Times-Roman" w:cs="Times-Roman"/>
          <w:sz w:val="20"/>
          <w:szCs w:val="20"/>
        </w:rPr>
        <w:t xml:space="preserve">appropriati in caso di affidamento </w:t>
      </w:r>
      <w:r>
        <w:rPr>
          <w:rFonts w:ascii="Times-Italic" w:hAnsi="Times-Italic" w:cs="Times-Italic"/>
          <w:i/>
          <w:iCs/>
          <w:sz w:val="20"/>
          <w:szCs w:val="20"/>
        </w:rPr>
        <w:t>in-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house</w:t>
      </w:r>
      <w:proofErr w:type="spellEnd"/>
      <w:r>
        <w:rPr>
          <w:rFonts w:ascii="Times-Roman" w:hAnsi="Times-Roman" w:cs="Times-Roman"/>
          <w:sz w:val="20"/>
          <w:szCs w:val="20"/>
        </w:rPr>
        <w:t>).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 ritiene, infatti, che le disposizioni del Regolamento debbano essere lette alla luce dei principi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generali in tema di trasparenza, non discriminazione e parità di trattamento posti a fondamento del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Trattato sul Funzionamento dell’Unione Europea, e ripresi dall’art. 4 del Codice dei contratti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pubblici, il quale rappresenta una norma di applicazione generale, valida anche per i servizi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trasporto pubblico di passeggeri per ferrovia, che dispone che: “</w:t>
      </w:r>
      <w:r>
        <w:rPr>
          <w:rFonts w:ascii="Times-Italic" w:hAnsi="Times-Italic" w:cs="Times-Italic"/>
          <w:i/>
          <w:iCs/>
          <w:sz w:val="20"/>
          <w:szCs w:val="20"/>
        </w:rPr>
        <w:t>L’affidamento dei contratti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pubblici aventi ad oggetto lavori, servizi e forniture, dei contratti attivi, esclusi, in tutto o in parte,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dall’ambito di applicazione oggettiva del presente codice, avviene nel rispetto dei principi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economicità, efficacia, imparzialità, parità di trattamento, trasparenza, proporzionalità,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pubblicità, tutela dell’ambiente ed efficienza energetica</w:t>
      </w:r>
      <w:r>
        <w:rPr>
          <w:rFonts w:ascii="Times-Roman" w:hAnsi="Times-Roman" w:cs="Times-Roman"/>
          <w:sz w:val="20"/>
          <w:szCs w:val="20"/>
        </w:rPr>
        <w:t>”. I principi sopra richiamati possono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essere così declinati: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-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economicità: </w:t>
      </w:r>
      <w:r>
        <w:rPr>
          <w:rFonts w:ascii="Times-Roman" w:hAnsi="Times-Roman" w:cs="Times-Roman"/>
          <w:sz w:val="20"/>
          <w:szCs w:val="20"/>
        </w:rPr>
        <w:t>impone alle autorità competenti un uso efficiente delle risorse da impiegare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nello svolgimento della selezione ovvero nell’esecuzione del contratto, in virtù del quale le stesse,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prima dell’affidamento dell’incarico, sono tenute ad accertare la congruità del corrispettivo. In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considerazione della natura dei servizi in questione e dell’importanza della qualità delle relative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prestazioni, il risparmio di spesa non è l’unico criterio di guida nella scelta che deve compiere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l’ente affidante;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- </w:t>
      </w:r>
      <w:r>
        <w:rPr>
          <w:rFonts w:ascii="Times-Italic" w:hAnsi="Times-Italic" w:cs="Times-Italic"/>
          <w:i/>
          <w:iCs/>
          <w:sz w:val="20"/>
          <w:szCs w:val="20"/>
        </w:rPr>
        <w:t>efficacia</w:t>
      </w:r>
      <w:r>
        <w:rPr>
          <w:rFonts w:ascii="Times-Roman" w:hAnsi="Times-Roman" w:cs="Times-Roman"/>
          <w:sz w:val="20"/>
          <w:szCs w:val="20"/>
        </w:rPr>
        <w:t>: richiede la congruità degli atti posti in essere dagli enti affidanti rispetto al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conseguimento dello scopo e dell’interesse pubblico cui sono preordinati. In questo caso l’ente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dovrà privilegiare quel progetto che meglio garantisce gli obiettivi di trasporto fissati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preventivamente;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- </w:t>
      </w:r>
      <w:r>
        <w:rPr>
          <w:rFonts w:ascii="Times-Italic" w:hAnsi="Times-Italic" w:cs="Times-Italic"/>
          <w:i/>
          <w:iCs/>
          <w:sz w:val="20"/>
          <w:szCs w:val="20"/>
        </w:rPr>
        <w:t>imparzialità</w:t>
      </w:r>
      <w:r>
        <w:rPr>
          <w:rFonts w:ascii="Times-Roman" w:hAnsi="Times-Roman" w:cs="Times-Roman"/>
          <w:sz w:val="20"/>
          <w:szCs w:val="20"/>
        </w:rPr>
        <w:t>: richiede una valutazione equa ed imparziale dei concorrenti e, quindi,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l’assoluto divieto di favoritismi e di discriminazione; pertanto, tale principio impone che il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contratto sia affidato conformemente alle regole procedurali fissate all’inizio e che l’ente affidante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maturi la sua decisione finale da una posizione di terzietà rispetto a tutti i soggetti interessati;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- </w:t>
      </w:r>
      <w:r>
        <w:rPr>
          <w:rFonts w:ascii="Times-Italic" w:hAnsi="Times-Italic" w:cs="Times-Italic"/>
          <w:i/>
          <w:iCs/>
          <w:sz w:val="20"/>
          <w:szCs w:val="20"/>
        </w:rPr>
        <w:t>parità di trattamento</w:t>
      </w:r>
      <w:r>
        <w:rPr>
          <w:rFonts w:ascii="Times-Roman" w:hAnsi="Times-Roman" w:cs="Times-Roman"/>
          <w:sz w:val="20"/>
          <w:szCs w:val="20"/>
        </w:rPr>
        <w:t>: richiede che gli operatori economici si trovino in una situazione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“eguaglianza formale”, ossia di reciproca parità rispetto al modulo procedimentale seguito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dall’ente affidante;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- </w:t>
      </w:r>
      <w:r>
        <w:rPr>
          <w:rFonts w:ascii="Times-Italic" w:hAnsi="Times-Italic" w:cs="Times-Italic"/>
          <w:i/>
          <w:iCs/>
          <w:sz w:val="20"/>
          <w:szCs w:val="20"/>
        </w:rPr>
        <w:t>trasparenza</w:t>
      </w:r>
      <w:r>
        <w:rPr>
          <w:rFonts w:ascii="Times-Roman" w:hAnsi="Times-Roman" w:cs="Times-Roman"/>
          <w:sz w:val="20"/>
          <w:szCs w:val="20"/>
        </w:rPr>
        <w:t>: consiste nel garantire, in favore di ogni potenziale offerente, un adeguato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livello di conoscibilità delle procedure di gara, ivi comprese le ragioni che sono alla base delle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scelte compiute dall’ente affidante, anche al fine di consentire il controllo sull’imparzialità della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selezione;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- </w:t>
      </w:r>
      <w:r>
        <w:rPr>
          <w:rFonts w:ascii="Times-Italic" w:hAnsi="Times-Italic" w:cs="Times-Italic"/>
          <w:i/>
          <w:iCs/>
          <w:sz w:val="20"/>
          <w:szCs w:val="20"/>
        </w:rPr>
        <w:t>proporzionalità</w:t>
      </w:r>
      <w:r>
        <w:rPr>
          <w:rFonts w:ascii="Times-Roman" w:hAnsi="Times-Roman" w:cs="Times-Roman"/>
          <w:sz w:val="20"/>
          <w:szCs w:val="20"/>
        </w:rPr>
        <w:t>: richiede l’adeguatezza e l’idoneità dell’azione amministrativa rispetto alle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finalità e all’importo dell’affidamento;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- </w:t>
      </w:r>
      <w:r>
        <w:rPr>
          <w:rFonts w:ascii="Times-Italic" w:hAnsi="Times-Italic" w:cs="Times-Italic"/>
          <w:i/>
          <w:iCs/>
          <w:sz w:val="20"/>
          <w:szCs w:val="20"/>
        </w:rPr>
        <w:t>pubblicità</w:t>
      </w:r>
      <w:r>
        <w:rPr>
          <w:rFonts w:ascii="Times-Roman" w:hAnsi="Times-Roman" w:cs="Times-Roman"/>
          <w:sz w:val="20"/>
          <w:szCs w:val="20"/>
        </w:rPr>
        <w:t>: impone all’ente affidante di pubblicare, comunicare o rendere accessibili i propri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documenti, atti e procedure; nell’ambito del trasporto pubblico regionale ferroviario, lo stesso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Regolamento definisce stringenti criteri di pubblicità cui le amministrazioni devono attenersi (v.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meglio </w:t>
      </w:r>
      <w:r>
        <w:rPr>
          <w:rFonts w:ascii="Times-Italic" w:hAnsi="Times-Italic" w:cs="Times-Italic"/>
          <w:i/>
          <w:iCs/>
          <w:sz w:val="20"/>
          <w:szCs w:val="20"/>
        </w:rPr>
        <w:t>infra</w:t>
      </w:r>
      <w:r>
        <w:rPr>
          <w:rFonts w:ascii="Times-Roman" w:hAnsi="Times-Roman" w:cs="Times-Roman"/>
          <w:sz w:val="20"/>
          <w:szCs w:val="20"/>
        </w:rPr>
        <w:t>).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Tali principi sono, peraltro, richiamati anche dal Regolamento, ai Considerando 29 e 30. In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particolare: il Considerando 30 afferma che </w:t>
      </w:r>
      <w:r>
        <w:rPr>
          <w:rFonts w:ascii="Times-Italic" w:hAnsi="Times-Italic" w:cs="Times-Italic"/>
          <w:i/>
          <w:iCs/>
          <w:sz w:val="20"/>
          <w:szCs w:val="20"/>
        </w:rPr>
        <w:t>“[i] contratti di servizio pubblico aggiudicati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42 DEL 6 NOVEMBRE 2017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76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 xml:space="preserve">direttamente dovrebbero essere soggetti a una maggiore trasparenza”; </w:t>
      </w:r>
      <w:r>
        <w:rPr>
          <w:rFonts w:ascii="Times-Roman" w:hAnsi="Times-Roman" w:cs="Times-Roman"/>
          <w:sz w:val="20"/>
          <w:szCs w:val="20"/>
        </w:rPr>
        <w:t>il Considerando 29 recita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che “</w:t>
      </w:r>
      <w:r>
        <w:rPr>
          <w:rFonts w:ascii="Times-Italic" w:hAnsi="Times-Italic" w:cs="Times-Italic"/>
          <w:i/>
          <w:iCs/>
          <w:sz w:val="20"/>
          <w:szCs w:val="20"/>
        </w:rPr>
        <w:t>Ai fini dell’aggiudicazione dei contratti di servizio pubblico, ad eccezione delle misure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emergenza e dei contratti relativi a distanze limitate, le autorità competenti dovrebbero adottare 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necessarie misure per pubblicizzare, con almeno un anno di anticipo, il fatto che intendono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aggiudicare tali contratti così da consentire ai potenziali operatori del servizio pubblico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attivarsi”.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2. Gli obblighi informativi posti in capo agli enti affidanti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Sotto il profilo degli obblighi informativi, si ricorda che il Considerando 29 è stato interpretato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dalla Commissione europea nella Comunicazione 2014/C92/01 in materia di affidamento diretto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dei servizi di trasporto pubblico su strada e per ferrovia (di seguito, la “Comunicazione”) nel senso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che l’avviso di </w:t>
      </w:r>
      <w:proofErr w:type="spellStart"/>
      <w:r>
        <w:rPr>
          <w:rFonts w:ascii="Times-Roman" w:hAnsi="Times-Roman" w:cs="Times-Roman"/>
          <w:sz w:val="20"/>
          <w:szCs w:val="20"/>
        </w:rPr>
        <w:t>pre</w:t>
      </w:r>
      <w:proofErr w:type="spellEnd"/>
      <w:r>
        <w:rPr>
          <w:rFonts w:ascii="Times-Roman" w:hAnsi="Times-Roman" w:cs="Times-Roman"/>
          <w:sz w:val="20"/>
          <w:szCs w:val="20"/>
        </w:rPr>
        <w:t>-informazione deve “</w:t>
      </w:r>
      <w:r>
        <w:rPr>
          <w:rFonts w:ascii="Times-Italic" w:hAnsi="Times-Italic" w:cs="Times-Italic"/>
          <w:i/>
          <w:iCs/>
          <w:sz w:val="20"/>
          <w:szCs w:val="20"/>
        </w:rPr>
        <w:t>permettere ai potenziali operatori del servizio pubblico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parteciparvi</w:t>
      </w:r>
      <w:r>
        <w:rPr>
          <w:rFonts w:ascii="Times-Roman" w:hAnsi="Times-Roman" w:cs="Times-Roman"/>
          <w:sz w:val="20"/>
          <w:szCs w:val="20"/>
        </w:rPr>
        <w:t>”, ovvero che questo deve conferire alle parti interessate la possibilità di formulare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domande molto tempo prima dell’aggiudicazione dell’appalto</w:t>
      </w:r>
      <w:r>
        <w:rPr>
          <w:rFonts w:ascii="Times-Roman" w:hAnsi="Times-Roman" w:cs="Times-Roman"/>
          <w:sz w:val="18"/>
          <w:szCs w:val="18"/>
        </w:rPr>
        <w:t>4</w:t>
      </w:r>
      <w:r>
        <w:rPr>
          <w:rFonts w:ascii="Times-Roman" w:hAnsi="Times-Roman" w:cs="Times-Roman"/>
          <w:sz w:val="20"/>
          <w:szCs w:val="20"/>
        </w:rPr>
        <w:t>. La Commissione europea,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pertanto, proprio in attuazione dei principi generali sopra menzionati di imparzialità, parità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trattamento, trasparenza e pubblicità, configura l’avviso di </w:t>
      </w:r>
      <w:proofErr w:type="spellStart"/>
      <w:r>
        <w:rPr>
          <w:rFonts w:ascii="Times-Roman" w:hAnsi="Times-Roman" w:cs="Times-Roman"/>
          <w:sz w:val="20"/>
          <w:szCs w:val="20"/>
        </w:rPr>
        <w:t>pre</w:t>
      </w:r>
      <w:proofErr w:type="spellEnd"/>
      <w:r>
        <w:rPr>
          <w:rFonts w:ascii="Times-Roman" w:hAnsi="Times-Roman" w:cs="Times-Roman"/>
          <w:sz w:val="20"/>
          <w:szCs w:val="20"/>
        </w:rPr>
        <w:t>-informazione, non come un mero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atto di pubblicità fine a se stesso, ma lo rende funzionale alla partecipazione procedimentale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soggetti terzi potenzialmente interessati alla procedura di aggiudicazione.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tal senso può leggersi la disposizione di cui all’art. 5, paragrafo 7, del Regolamento (CE) n.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1370/2007, in base alla quale “</w:t>
      </w:r>
      <w:r>
        <w:rPr>
          <w:rFonts w:ascii="Times-Italic" w:hAnsi="Times-Italic" w:cs="Times-Italic"/>
          <w:i/>
          <w:iCs/>
          <w:sz w:val="20"/>
          <w:szCs w:val="20"/>
        </w:rPr>
        <w:t>Gli Stati membri adottano le misure necessarie per garantire che 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decisioni adottate a norma dei paragrafi da 2 a 6 possano essere verificate con efficacia 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rapidità, su richiesta di qualsiasi persona che sia o fosse interessata a ottenere un contratto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particolare e che sia stata o rischi di essere danneggiata da una presunta infrazione, motivata dal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fatto che tali decisioni hanno violato il diritto comunitario o le leggi nazionali che applicano tale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diritto</w:t>
      </w:r>
      <w:r>
        <w:rPr>
          <w:rFonts w:ascii="Times-Roman" w:hAnsi="Times-Roman" w:cs="Times-Roman"/>
          <w:sz w:val="20"/>
          <w:szCs w:val="20"/>
        </w:rPr>
        <w:t>”.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Tale partecipazione procedimentale, tuttavia, non si limita alla mera possibilità di richiedere 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ottenere dall’autorità competente informazioni sulle caratteristiche del servizio; il possesso delle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informazioni di natura tecnica ed economica da parte dell’ente affidante a beneficio di soggetti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terzi non può, infatti, essere considerato fine a se stesso: è evidente che esiste un legame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funzionalità tra la conoscenza di detti dati e la volontà dei soggetti terzi di presentare delle offerte.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L’interesse dei soggetti terzi si estende, dunque, necessariamente anche alla facoltà di presentare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offerte alternative a quelle dell’operatore storico (o inizialmente prescelto dall’ente) ed è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soddisfatto con la tempestiva, nonché completa ed esaustiva messa a disposizione delle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informazioni utili a tal fine (su cui v. meglio </w:t>
      </w:r>
      <w:r>
        <w:rPr>
          <w:rFonts w:ascii="Times-Italic" w:hAnsi="Times-Italic" w:cs="Times-Italic"/>
          <w:i/>
          <w:iCs/>
          <w:sz w:val="20"/>
          <w:szCs w:val="20"/>
        </w:rPr>
        <w:t>infra</w:t>
      </w:r>
      <w:r>
        <w:rPr>
          <w:rFonts w:ascii="Times-Roman" w:hAnsi="Times-Roman" w:cs="Times-Roman"/>
          <w:sz w:val="20"/>
          <w:szCs w:val="20"/>
        </w:rPr>
        <w:t>).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3. Gli obblighi motivazionali posti in capo agli enti affidanti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Quando le autorità competenti decidono di procedere con un affidamento diretto sono soggette ad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un più stringente obbligo di motivazione, rispetto al caso in cui scelgono di adottare una procedura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 affidamento conforme a quelle previste dal Codice dei contratti pubblici (procedura aperta,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ristretta, competitiva con negoziazione o di dialogo competitivo), la quale richiede un minore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4 V. par. 2.5.3 della Comunicazione.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42 DEL 6 NOVEMBRE 2017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77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sforzo di motivazione, in quanto si tratta di modalità che, essendo regolate in sede </w:t>
      </w:r>
      <w:proofErr w:type="spellStart"/>
      <w:r>
        <w:rPr>
          <w:rFonts w:ascii="Times-Roman" w:hAnsi="Times-Roman" w:cs="Times-Roman"/>
          <w:sz w:val="20"/>
          <w:szCs w:val="20"/>
        </w:rPr>
        <w:t>eurounitaria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nazionale, sono già rispettose dei criteri di cui all’art. 4 del Codice (in questo senso, potrebbe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essere opportuno che gli enti affidanti si “</w:t>
      </w:r>
      <w:proofErr w:type="spellStart"/>
      <w:r>
        <w:rPr>
          <w:rFonts w:ascii="Times-Roman" w:hAnsi="Times-Roman" w:cs="Times-Roman"/>
          <w:sz w:val="20"/>
          <w:szCs w:val="20"/>
        </w:rPr>
        <w:t>autovincolino</w:t>
      </w:r>
      <w:proofErr w:type="spellEnd"/>
      <w:r>
        <w:rPr>
          <w:rFonts w:ascii="Times-Roman" w:hAnsi="Times-Roman" w:cs="Times-Roman"/>
          <w:sz w:val="20"/>
          <w:szCs w:val="20"/>
        </w:rPr>
        <w:t>” al rispetto di tali procedure, proprio per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ridurre il rischio di contenzioso sulle procedure di aggiudicazione).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Il maggiore obbligo motivazionale in caso di affidamento diretto concerne sia la scelta della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procedura da seguire, sia la scelta del concessionario. In particolare, esso risulta particolarmente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rigoroso quando, a seguito della pubblicazione dell’avviso di cui all’art. 7, par. 2, del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Regolamento, siano pervenute due o più manifestazioni di interesse. In questo caso, l’ente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affidante deve, non solo adeguatamente giustificare perché ritiene che gli obiettivi di servizio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pubblico siano garantiti meglio, in termini di efficacia ed efficienza, da un affidamento diretto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rispetto ad una procedura aperta, e perché ciò superi il test di proporzionalità, ma nella scelta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dell’affidatario dovrà anche chiarire in che modo sono rispettati i principi di imparzialità e parità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trattamento. Ciò implica che nel caso in cui siano state presentate manifestazioni di interesse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alternative, l’obbligo motivazionale, di cui all’art. 7, par. 4, del Regolamento e dell’art. 34 del </w:t>
      </w:r>
      <w:proofErr w:type="spellStart"/>
      <w:r>
        <w:rPr>
          <w:rFonts w:ascii="Times-Roman" w:hAnsi="Times-Roman" w:cs="Times-Roman"/>
          <w:sz w:val="20"/>
          <w:szCs w:val="20"/>
        </w:rPr>
        <w:t>d.l.</w:t>
      </w:r>
      <w:proofErr w:type="spellEnd"/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n. 179/2012, deve obbligatoriamente includere anche le ragioni che sono alla base della scelta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stessa di un soggetto in luogo di un altro. Il che a sua volta presuppone necessariamente che questa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sia supportata da un’analisi comparativa delle offerte presentate. D’altronde, se così non fosse e se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l’ente affidante non considerasse le offerte ulteriori eventualmente pervenute, questi non potrebbe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dar conto, come è obbligato a fare, della correttezza della propria scelta dal punto di vista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dell’efficienza, dell’economicità e della qualità del servizio</w:t>
      </w:r>
      <w:r>
        <w:rPr>
          <w:rFonts w:ascii="Times-Roman" w:hAnsi="Times-Roman" w:cs="Times-Roman"/>
          <w:sz w:val="18"/>
          <w:szCs w:val="18"/>
        </w:rPr>
        <w:t>5</w:t>
      </w:r>
      <w:r>
        <w:rPr>
          <w:rFonts w:ascii="Times-Roman" w:hAnsi="Times-Roman" w:cs="Times-Roman"/>
          <w:sz w:val="20"/>
          <w:szCs w:val="20"/>
        </w:rPr>
        <w:t>, nonché dell’ottimale impiego delle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risorse pubbliche</w:t>
      </w:r>
      <w:r>
        <w:rPr>
          <w:rFonts w:ascii="Times-Roman" w:hAnsi="Times-Roman" w:cs="Times-Roman"/>
          <w:sz w:val="18"/>
          <w:szCs w:val="18"/>
        </w:rPr>
        <w:t>6</w:t>
      </w:r>
      <w:r>
        <w:rPr>
          <w:rFonts w:ascii="Times-Roman" w:hAnsi="Times-Roman" w:cs="Times-Roman"/>
          <w:sz w:val="20"/>
          <w:szCs w:val="20"/>
        </w:rPr>
        <w:t>. Esso, infatti, non potrebbe dimostrare – ovvero lo farebbe senza essere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supportato da adeguata motivazione – la preferibilità dell’offerta del soggetto inizialmente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prescelto agli altri. In ogni caso, per il principio di economicità prima richiamato, in nessun caso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l’ente affidante può considerarsi esentato dall’effettuare un’analisi di congruità rispetto ad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appropriati </w:t>
      </w:r>
      <w:r>
        <w:rPr>
          <w:rFonts w:ascii="Times-Italic" w:hAnsi="Times-Italic" w:cs="Times-Italic"/>
          <w:i/>
          <w:iCs/>
          <w:sz w:val="20"/>
          <w:szCs w:val="20"/>
        </w:rPr>
        <w:t>benchmark</w:t>
      </w:r>
      <w:r>
        <w:rPr>
          <w:rFonts w:ascii="Times-Roman" w:hAnsi="Times-Roman" w:cs="Times-Roman"/>
          <w:sz w:val="20"/>
          <w:szCs w:val="20"/>
        </w:rPr>
        <w:t xml:space="preserve">/termini di riferimento, rappresentati da studi e valutazioni </w:t>
      </w:r>
      <w:r>
        <w:rPr>
          <w:rFonts w:ascii="Times-Italic" w:hAnsi="Times-Italic" w:cs="Times-Italic"/>
          <w:i/>
          <w:iCs/>
          <w:sz w:val="20"/>
          <w:szCs w:val="20"/>
        </w:rPr>
        <w:t>ex ante</w:t>
      </w:r>
      <w:r>
        <w:rPr>
          <w:rFonts w:ascii="Times-Roman" w:hAnsi="Times-Roman" w:cs="Times-Roman"/>
          <w:sz w:val="20"/>
          <w:szCs w:val="20"/>
        </w:rPr>
        <w:t>. Tanto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più ove tali evidenze non siano disponibili, in alternativa alle stesse, è opportuno utilizzare i dati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offerta di altri potenziali concorrenti.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5 Precisi obblighi di motivazione basati su un criterio di maggiore efficienza della scelta dell’affidamento diretto si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rinvengono, ad esempio, all’interno del Regolamento (UE) n. 2338/2016 in relazione ad una specifica ipotesi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affidamento diretto del servizio di trasporto pubblico locale. Cfr. il Considerando 25, il quale recita: “</w:t>
      </w:r>
      <w:r>
        <w:rPr>
          <w:rFonts w:ascii="Times-Italic" w:hAnsi="Times-Italic" w:cs="Times-Italic"/>
          <w:i/>
          <w:iCs/>
          <w:sz w:val="16"/>
          <w:szCs w:val="16"/>
        </w:rPr>
        <w:t>Qualora siano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soddisfatte talune condizioni connesse alla natura e alla struttura del mercato ferroviario o della rete ferroviaria, 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autorità competenti dovrebbero poter aggiudicare direttamente contratti di servizio pubblico inerenti al trasporto pubblico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ferroviario di passeggeri se tali contratti si traducono in un miglioramento della qualità dei servizi o dell'efficienza in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termini di costi, o di entrambe le fattispecie</w:t>
      </w:r>
      <w:r>
        <w:rPr>
          <w:rFonts w:ascii="Times-Roman" w:hAnsi="Times-Roman" w:cs="Times-Roman"/>
          <w:sz w:val="16"/>
          <w:szCs w:val="16"/>
        </w:rPr>
        <w:t>”. V., inoltre, l’art. 5, par. 4-</w:t>
      </w:r>
      <w:r>
        <w:rPr>
          <w:rFonts w:ascii="Times-Italic" w:hAnsi="Times-Italic" w:cs="Times-Italic"/>
          <w:i/>
          <w:iCs/>
          <w:sz w:val="16"/>
          <w:szCs w:val="16"/>
        </w:rPr>
        <w:t xml:space="preserve">bis, </w:t>
      </w:r>
      <w:r>
        <w:rPr>
          <w:rFonts w:ascii="Times-Roman" w:hAnsi="Times-Roman" w:cs="Times-Roman"/>
          <w:sz w:val="16"/>
          <w:szCs w:val="16"/>
        </w:rPr>
        <w:t>il quale prevede che “</w:t>
      </w:r>
      <w:r>
        <w:rPr>
          <w:rFonts w:ascii="Times-Italic" w:hAnsi="Times-Italic" w:cs="Times-Italic"/>
          <w:i/>
          <w:iCs/>
          <w:sz w:val="16"/>
          <w:szCs w:val="16"/>
        </w:rPr>
        <w:t>A meno che non sia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vietato dalla legislazione nazionale, l'autorità competente ha facoltà di aggiudicare direttamente i contratti di servizio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pubblico inerenti a servizi di trasporto pubblico ferroviario di passeggeri: a) qualora consideri l'aggiudicazione diretta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giustificata dalle pertinenti caratteristiche strutturali e geografiche del mercato e della rete interessati, e in particolare la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loro dimensione, le caratteristiche della domanda, la complessità della rete, l'isolamento dal punto di vista tecnico 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lastRenderedPageBreak/>
        <w:t>geografico e i servizi che rientrano nel contratto; e b) qualora tale contratto si traduca in un miglioramento della qualità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dei servizi o dell'efficienza, o di entrambi, in termini di costi rispetto al contratto di servizio pubblico aggiudicato in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precedenza</w:t>
      </w:r>
      <w:r>
        <w:rPr>
          <w:rFonts w:ascii="Times-Roman" w:hAnsi="Times-Roman" w:cs="Times-Roman"/>
          <w:sz w:val="16"/>
          <w:szCs w:val="16"/>
        </w:rPr>
        <w:t>. […]”.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6 Cfr. sul punto anche il Considerando 27, il quale recita: “</w:t>
      </w:r>
      <w:r>
        <w:rPr>
          <w:rFonts w:ascii="Times-Italic" w:hAnsi="Times-Italic" w:cs="Times-Italic"/>
          <w:i/>
          <w:iCs/>
          <w:sz w:val="16"/>
          <w:szCs w:val="16"/>
        </w:rPr>
        <w:t>Qualora preveda di aggiudicare un contratto di servizio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pubblico senza ricorrere a procedura di gara, l’autorità competente dovrebbe altresì osservare modalità di applicazione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dettagliate idonee a garantire che l’importo delle compensazioni risulti adeguato e miri a conseguire un servizio efficiente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e di qualità”.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42 DEL 6 NOVEMBRE 2017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78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4. Il confronto competitivo delle offerte e la procedura applicabile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Alla luce di questo quadro interpretativo delle norme applicabili all’affidamento diretto del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servizio di trasporto pubblico regionale ferroviario si ritiene, in definitiva, che nel caso in cui siano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presenti più manifestazioni di interesse all’affidamento, gli enti affidanti debbano mettere 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disposizione dei soggetti terzi eventualmente interessati le informazioni necessarie per formulare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un’offerta commerciale e procedere ad una valutazione comparativa tra le varie offerte ricevute.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La disciplina vigente non statuisce una specifica metodologia con cui questo confronto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competitivo debba avvenire. Indicazioni in tal senso, tuttavia, possono venire dalle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best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practices</w:t>
      </w:r>
      <w:proofErr w:type="spellEnd"/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adottate da alcune autorità competenti (enti territoriali in occasione di procedure di affidamento), 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quali, sposando chiaramente l’interpretazione sostanziale del Regolamento sopra riportata, hanno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adottato i riferimenti normativi di applicazione generale contenuti nel Codice dei contratti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pubblici.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particolare, alcuni enti affidanti hanno inteso procedere all’affidamento diretto dei servizi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ferroviari regionali di propria competenza facendolo precedere da forme di confronto competitivo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tra i soggetti che hanno mostrato interesse, ricalcando la procedura competitiva con negoziazione 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il dialogo competitivo di cui, rispettivamente, agli art. 62 e 64 del Codice dei contratti pubblici.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Viceversa, risulta che altri enti starebbero ipotizzando di utilizzare una procedura mutuata dal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project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financing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di cui all’art. 182 del Codice, considerando come promotore l’attuale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incumbent</w:t>
      </w:r>
      <w:proofErr w:type="spellEnd"/>
      <w:r>
        <w:rPr>
          <w:rFonts w:ascii="Times-Roman" w:hAnsi="Times-Roman" w:cs="Times-Roman"/>
          <w:sz w:val="20"/>
          <w:szCs w:val="20"/>
        </w:rPr>
        <w:t>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Al riguardo si osserva che la procedura del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project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financing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non appare compatibile con i criteri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enunciati all’art. 4 del Codice dei contratti pubblici. Infatti, a differenza di quanto avviene per il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caso del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project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financing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, </w:t>
      </w:r>
      <w:r>
        <w:rPr>
          <w:rFonts w:ascii="Times-Roman" w:hAnsi="Times-Roman" w:cs="Times-Roman"/>
          <w:sz w:val="20"/>
          <w:szCs w:val="20"/>
        </w:rPr>
        <w:t>nel quale il promotore è scelto a seguito di una prima procedura di gara,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nel caso di affidamento diretto il promotore si identifica necessariamente con l’attuale gestore, al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quale sarebbe in tal modo attribuito un ulteriore vantaggio competitivo, dato che egli ha accesso 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tutte le informazioni necessarie per predisporre l’offerta, conosce già le caratteristiche del contesto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 del servizio e può limitarsi a pareggiare l’offerta degli altri concorrenti. Con l’attribuzione di un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diritto di prelazione all’</w:t>
      </w:r>
      <w:proofErr w:type="spellStart"/>
      <w:r>
        <w:rPr>
          <w:rFonts w:ascii="Times-Roman" w:hAnsi="Times-Roman" w:cs="Times-Roman"/>
          <w:sz w:val="20"/>
          <w:szCs w:val="20"/>
        </w:rPr>
        <w:t>incumbent</w:t>
      </w:r>
      <w:proofErr w:type="spellEnd"/>
      <w:r>
        <w:rPr>
          <w:rFonts w:ascii="Times-Roman" w:hAnsi="Times-Roman" w:cs="Times-Roman"/>
          <w:sz w:val="20"/>
          <w:szCs w:val="20"/>
        </w:rPr>
        <w:t>, pertanto, si violerebbero i principi di imparzialità e di parità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trattamento e si ridurrebbero gli incentivi dei nuovi entranti a predisporre un’offerta alternativa, in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quanto essi sarebbero consapevoli del fatto che l’</w:t>
      </w:r>
      <w:proofErr w:type="spellStart"/>
      <w:r>
        <w:rPr>
          <w:rFonts w:ascii="Times-Roman" w:hAnsi="Times-Roman" w:cs="Times-Roman"/>
          <w:sz w:val="20"/>
          <w:szCs w:val="20"/>
        </w:rPr>
        <w:t>incumbent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potrebbe avvantaggiarsene.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 contrario, le procedure di cui agli artt. 62 e 64 del Codice dei contratti pubblici avrebbero il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vantaggio di permettere agli enti affidanti di migliorare la qualità del servizio pubblico potendo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conoscere nuove soluzioni offerte dal mercato. Tuttavia, per procedere all’aggiudicazione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mediante procedure di confronto competitivo, occorre che siano rispettati i principi di trasparenza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 non discriminazione, prevedendo adeguate misure di salvaguardia, tra cui l’indicazione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preventiva dei requisiti minimi di affidamento, che non possono essere modificati nel corso delle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negoziazioni/ consultazioni, e i criteri di aggiudicazione e la loro ponderazione.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5. Le informazioni accessibili da parte dei soggetti terzi nell’ambito della procedura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confronto competitivo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Sempre nel solco interpretativo pro-concorrenziale delle norme applicabili all’affidamento del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servizio di trasporto pubblico regionale ferroviario qui adottato, si ritiene che, a fronte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dell’eventuale richiesta da parte di un soggetto interessato di poter essere messo nelle condizioni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per formulare un’ offerta vincolante al pari dell’impresa individuata come potenziale affidataria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42 DEL 6 NOVEMBRE 2017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79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per via diretta, gli enti affidanti non si possano limitare a mettere a disposizione solo gli elementi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informativi esplicitamente richiesti dell’art. 7, comma 2, del Regolamento, ma debbano attivarsi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per rendere disponibili ed accessibili, in ossequio all’obbligo di trasparenza di cui al richiamato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Considerando 30 del Regolamento, i dati e le informazioni relative alla configurazione del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servizio, almeno in termini di livelli e dinamica della domanda, beni strumentali per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l’effettuazione del servizio, materiale rotabile e personale direttamente allocato al servizio.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 riguardo possono essere considerati, nel loro grado di dettaglio, i dati e le informazioni di cui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alla delibera ART n. 49/2015</w:t>
      </w:r>
      <w:r>
        <w:rPr>
          <w:rFonts w:ascii="Times-Roman" w:hAnsi="Times-Roman" w:cs="Times-Roman"/>
          <w:sz w:val="18"/>
          <w:szCs w:val="18"/>
        </w:rPr>
        <w:t xml:space="preserve">7 </w:t>
      </w:r>
      <w:r>
        <w:rPr>
          <w:rFonts w:ascii="Times-Roman" w:hAnsi="Times-Roman" w:cs="Times-Roman"/>
          <w:sz w:val="20"/>
          <w:szCs w:val="20"/>
        </w:rPr>
        <w:t>(v. Prospetto 1), da considerarsi già nella piena titolarità dei predetti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enti, anche secondo opportune previsioni all’interno dei Contratti di Servizio. Laddove emergano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esigenze di riservatezza rispetto a dati e informazioni commercialmente sensibili riferibili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all’operatore storico, non già compresi nel citato Prospetto, l’ente affidante contempera tali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esigenze con il diritto dei soggetti terzi potenzialmente interessati all’affidamento di accedere alle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informazioni necessarie per presentare un’offerta alternativa, definendo le specifiche modalità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accesso ai dati disponibili, quali: condizioni di ammissione, gestione dei quesiti, modalità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acquisizione delle informazioni riservate, impegni e riservatezza, ecc.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 Autorità auspicano che le considerazioni qui svolte possano offrire uno stimolo all’attuazione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delle disposizioni normative e regolamentari contenute nel Regolamento in materia di affidamento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diretto dei servizi di trasporto pubblico regionale ferroviario, in maniera maggiormente conforme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ai principi concorrenziali, specie laddove le autorità competenti ricevano manifestazioni di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interesse da parte di soggetti diversi rispetto al potenziale affidatario inizialmente prescelto.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AGCM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IL PRESIDENTE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Giovanni Pitruzzella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ANAC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IL PRESIDENTE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Raffaele Cantone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ART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IL PRESIDENTE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 xml:space="preserve">Andrea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Camanzi</w:t>
      </w:r>
      <w:proofErr w:type="spellEnd"/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7 V. </w:t>
      </w:r>
      <w:r>
        <w:rPr>
          <w:rFonts w:ascii="Times-Italic" w:hAnsi="Times-Italic" w:cs="Times-Italic"/>
          <w:i/>
          <w:iCs/>
          <w:sz w:val="16"/>
          <w:szCs w:val="16"/>
        </w:rPr>
        <w:t>http://www.autorita-trasporti.it/wp-content/uploads/2015/06/TPL-All-A-Finale.pdf</w:t>
      </w:r>
      <w:r>
        <w:rPr>
          <w:rFonts w:ascii="Times-Roman" w:hAnsi="Times-Roman" w:cs="Times-Roman"/>
          <w:sz w:val="16"/>
          <w:szCs w:val="16"/>
        </w:rPr>
        <w:t>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Il citato Prospetto 1 comprende le seguenti categorie di informazioni: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Garamond-OneByteIdentityH" w:hAnsi="Garamond-OneByteIdentityH" w:cs="Garamond-OneByteIdentityH"/>
          <w:sz w:val="16"/>
          <w:szCs w:val="16"/>
        </w:rPr>
        <w:t xml:space="preserve">- </w:t>
      </w:r>
      <w:r>
        <w:rPr>
          <w:rFonts w:ascii="Times-Roman" w:hAnsi="Times-Roman" w:cs="Times-Roman"/>
          <w:sz w:val="16"/>
          <w:szCs w:val="16"/>
        </w:rPr>
        <w:t>corrispettivi, compensazioni e struttura tariffaria;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Garamond-OneByteIdentityH" w:hAnsi="Garamond-OneByteIdentityH" w:cs="Garamond-OneByteIdentityH"/>
          <w:sz w:val="16"/>
          <w:szCs w:val="16"/>
        </w:rPr>
        <w:t xml:space="preserve">- </w:t>
      </w:r>
      <w:r>
        <w:rPr>
          <w:rFonts w:ascii="Times-Roman" w:hAnsi="Times-Roman" w:cs="Times-Roman"/>
          <w:sz w:val="16"/>
          <w:szCs w:val="16"/>
        </w:rPr>
        <w:t>caratteristiche del bacino territoriale interessato (infrastrutturali, socio-demografiche, reddito, ecc.) e dei servizi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programmati;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Garamond-OneByteIdentityH" w:hAnsi="Garamond-OneByteIdentityH" w:cs="Garamond-OneByteIdentityH"/>
          <w:sz w:val="16"/>
          <w:szCs w:val="16"/>
        </w:rPr>
        <w:t xml:space="preserve">- </w:t>
      </w:r>
      <w:r>
        <w:rPr>
          <w:rFonts w:ascii="Times-Roman" w:hAnsi="Times-Roman" w:cs="Times-Roman"/>
          <w:sz w:val="16"/>
          <w:szCs w:val="16"/>
        </w:rPr>
        <w:t xml:space="preserve">indicatori di </w:t>
      </w:r>
      <w:r>
        <w:rPr>
          <w:rFonts w:ascii="Times-Italic" w:hAnsi="Times-Italic" w:cs="Times-Italic"/>
          <w:i/>
          <w:iCs/>
          <w:sz w:val="16"/>
          <w:szCs w:val="16"/>
        </w:rPr>
        <w:t xml:space="preserve">performance </w:t>
      </w:r>
      <w:r>
        <w:rPr>
          <w:rFonts w:ascii="Times-Roman" w:hAnsi="Times-Roman" w:cs="Times-Roman"/>
          <w:sz w:val="16"/>
          <w:szCs w:val="16"/>
        </w:rPr>
        <w:t>e della qualità erogata dei servizi;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Garamond-OneByteIdentityH" w:hAnsi="Garamond-OneByteIdentityH" w:cs="Garamond-OneByteIdentityH"/>
          <w:sz w:val="16"/>
          <w:szCs w:val="16"/>
        </w:rPr>
        <w:t xml:space="preserve">- </w:t>
      </w:r>
      <w:r>
        <w:rPr>
          <w:rFonts w:ascii="Times-Roman" w:hAnsi="Times-Roman" w:cs="Times-Roman"/>
          <w:sz w:val="16"/>
          <w:szCs w:val="16"/>
        </w:rPr>
        <w:t>domanda effettiva di mobilità per modalità di trasporto (dati di frequentazione);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Garamond-OneByteIdentityH" w:hAnsi="Garamond-OneByteIdentityH" w:cs="Garamond-OneByteIdentityH"/>
          <w:sz w:val="16"/>
          <w:szCs w:val="16"/>
        </w:rPr>
        <w:t xml:space="preserve">- </w:t>
      </w:r>
      <w:r>
        <w:rPr>
          <w:rFonts w:ascii="Times-Roman" w:hAnsi="Times-Roman" w:cs="Times-Roman"/>
          <w:sz w:val="16"/>
          <w:szCs w:val="16"/>
        </w:rPr>
        <w:t>informazioni sulle reti, i beni immobili e il materiale rotabile utilizzato</w:t>
      </w:r>
      <w:r>
        <w:rPr>
          <w:rFonts w:ascii="Times-Italic" w:hAnsi="Times-Italic" w:cs="Times-Italic"/>
          <w:i/>
          <w:iCs/>
          <w:sz w:val="16"/>
          <w:szCs w:val="16"/>
        </w:rPr>
        <w:t>;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elenco del personale da trasferire al nuovo gestore.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Autorità garante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della concorrenza e del mercato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Bollettino Settimanale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Anno XXVII- N. 42 - 2017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Coordinamento redazionale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Redazione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Giulia Antenucci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 xml:space="preserve">Sandro Cini, Valerio </w:t>
      </w:r>
      <w:proofErr w:type="spellStart"/>
      <w:r>
        <w:rPr>
          <w:rFonts w:ascii="Times-Roman" w:hAnsi="Times-Roman" w:cs="Times-Roman"/>
          <w:sz w:val="18"/>
          <w:szCs w:val="18"/>
        </w:rPr>
        <w:t>Ruocco</w:t>
      </w:r>
      <w:proofErr w:type="spellEnd"/>
      <w:r>
        <w:rPr>
          <w:rFonts w:ascii="Times-Roman" w:hAnsi="Times-Roman" w:cs="Times-Roman"/>
          <w:sz w:val="18"/>
          <w:szCs w:val="18"/>
        </w:rPr>
        <w:t>, Simonetta Schettini,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Manuela Villani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Autorità Garante della Concorrenza e del Mercato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Ufficio Statistica e Applicazioni Informatiche</w:t>
      </w:r>
    </w:p>
    <w:p w:rsid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Piazza Giuseppe Verdi, 6/a - 00198 Roma</w:t>
      </w:r>
    </w:p>
    <w:p w:rsidR="00F83BC7" w:rsidRP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val="en-US"/>
        </w:rPr>
      </w:pPr>
      <w:r w:rsidRPr="00F83BC7">
        <w:rPr>
          <w:rFonts w:ascii="Times-Roman" w:hAnsi="Times-Roman" w:cs="Times-Roman"/>
          <w:sz w:val="18"/>
          <w:szCs w:val="18"/>
          <w:lang w:val="en-US"/>
        </w:rPr>
        <w:t>Tel.: 06-858211 Fax: 06-85821256</w:t>
      </w:r>
    </w:p>
    <w:p w:rsidR="00F83BC7" w:rsidRPr="00F83BC7" w:rsidRDefault="00F83BC7" w:rsidP="00F83B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val="en-US"/>
        </w:rPr>
      </w:pPr>
      <w:r w:rsidRPr="00F83BC7">
        <w:rPr>
          <w:rFonts w:ascii="Times-Roman" w:hAnsi="Times-Roman" w:cs="Times-Roman"/>
          <w:sz w:val="18"/>
          <w:szCs w:val="18"/>
          <w:lang w:val="en-US"/>
        </w:rPr>
        <w:t>Web: http://www.agcm.it</w:t>
      </w:r>
    </w:p>
    <w:p w:rsidR="00CB447E" w:rsidRDefault="00F83BC7" w:rsidP="00F83BC7"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 xml:space="preserve">Realizzazione grafica </w:t>
      </w:r>
      <w:r>
        <w:rPr>
          <w:rFonts w:ascii="Times-Roman" w:hAnsi="Times-Roman" w:cs="Times-Roman"/>
          <w:sz w:val="18"/>
          <w:szCs w:val="18"/>
        </w:rPr>
        <w:t>Area Strategic Design</w:t>
      </w:r>
    </w:p>
    <w:sectPr w:rsidR="00CB447E" w:rsidSect="00F83B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MS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BC7"/>
    <w:rsid w:val="00CB447E"/>
    <w:rsid w:val="00F8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3766</Words>
  <Characters>21468</Characters>
  <Application>Microsoft Office Word</Application>
  <DocSecurity>0</DocSecurity>
  <Lines>178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2017-11-07T21:09:00Z</dcterms:created>
  <dcterms:modified xsi:type="dcterms:W3CDTF">2017-11-07T21:12:00Z</dcterms:modified>
</cp:coreProperties>
</file>