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4D1" w:rsidRDefault="00925158" w:rsidP="00925158">
      <w:pPr>
        <w:pStyle w:val="Default"/>
        <w:rPr>
          <w:rFonts w:asciiTheme="minorHAnsi" w:hAnsiTheme="minorHAnsi"/>
        </w:rPr>
      </w:pPr>
      <w:r w:rsidRPr="00925158">
        <w:rPr>
          <w:rFonts w:asciiTheme="minorHAnsi" w:hAnsiTheme="minorHAnsi"/>
        </w:rPr>
        <w:t xml:space="preserve">BOLLETTINO N. 23 DEL 19 GIUGNO 2017 </w:t>
      </w:r>
    </w:p>
    <w:p w:rsidR="006014D1" w:rsidRDefault="006014D1" w:rsidP="00925158">
      <w:pPr>
        <w:pStyle w:val="Default"/>
        <w:rPr>
          <w:rFonts w:asciiTheme="minorHAnsi" w:hAnsiTheme="minorHAnsi"/>
        </w:rPr>
      </w:pPr>
    </w:p>
    <w:p w:rsidR="00925158" w:rsidRPr="00925158" w:rsidRDefault="00925158" w:rsidP="00925158">
      <w:pPr>
        <w:pStyle w:val="Default"/>
        <w:rPr>
          <w:rFonts w:asciiTheme="minorHAnsi" w:hAnsiTheme="minorHAnsi"/>
        </w:rPr>
      </w:pPr>
      <w:r w:rsidRPr="00925158">
        <w:rPr>
          <w:rFonts w:asciiTheme="minorHAnsi" w:hAnsiTheme="minorHAnsi"/>
        </w:rPr>
        <w:t xml:space="preserve">27 </w:t>
      </w:r>
    </w:p>
    <w:p w:rsidR="00925158" w:rsidRPr="00925158" w:rsidRDefault="00925158" w:rsidP="00925158">
      <w:pPr>
        <w:pStyle w:val="Default"/>
        <w:rPr>
          <w:rFonts w:asciiTheme="minorHAnsi" w:hAnsiTheme="minorHAnsi" w:cs="Times New Roman"/>
          <w:b/>
          <w:bCs/>
        </w:rPr>
      </w:pPr>
    </w:p>
    <w:p w:rsidR="00925158" w:rsidRPr="006014D1" w:rsidRDefault="00925158" w:rsidP="00925158">
      <w:pPr>
        <w:pStyle w:val="Default"/>
        <w:rPr>
          <w:rFonts w:asciiTheme="minorHAnsi" w:hAnsiTheme="minorHAnsi" w:cs="Times New Roman"/>
          <w:b/>
          <w:bCs/>
        </w:rPr>
      </w:pPr>
      <w:r w:rsidRPr="00925158">
        <w:rPr>
          <w:rFonts w:asciiTheme="minorHAnsi" w:hAnsiTheme="minorHAnsi" w:cs="Times New Roman"/>
          <w:b/>
          <w:bCs/>
        </w:rPr>
        <w:t xml:space="preserve">AS1388 - CONSIGLIO DI AMMINISTRAZIONE DEL CONSORZIO PER LO </w:t>
      </w:r>
      <w:bookmarkStart w:id="0" w:name="_GoBack"/>
      <w:bookmarkEnd w:id="0"/>
      <w:r w:rsidRPr="00925158">
        <w:rPr>
          <w:rFonts w:asciiTheme="minorHAnsi" w:hAnsiTheme="minorHAnsi" w:cs="Times New Roman"/>
          <w:b/>
          <w:bCs/>
        </w:rPr>
        <w:t xml:space="preserve">SVILUPPO INDUSTRIALE DEL LAZIO MERIDIONALE - AFFIDAMENTO IN HOUSE DEL SERVIZIO DI GESTIONE DEI DEPURATORI CONSORTILI </w:t>
      </w:r>
    </w:p>
    <w:p w:rsidR="00925158" w:rsidRDefault="00925158" w:rsidP="00925158">
      <w:pPr>
        <w:pStyle w:val="Default"/>
        <w:rPr>
          <w:rFonts w:asciiTheme="minorHAnsi" w:hAnsiTheme="minorHAnsi" w:cs="Times New Roman"/>
        </w:rPr>
      </w:pP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Roma, 23 marzo 2017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Consorzio per lo Sviluppo Industriale del Lazio Meridionale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L’Autorità Garante della Concorrenza e del Mercato, nella riunione del 14 marzo 2017, ha deliberato di esprimere un proprio parere ai sensi dell’art. 21-</w:t>
      </w:r>
      <w:r w:rsidRPr="00925158">
        <w:rPr>
          <w:rFonts w:asciiTheme="minorHAnsi" w:hAnsiTheme="minorHAnsi" w:cs="Times New Roman"/>
          <w:i/>
          <w:iCs/>
        </w:rPr>
        <w:t xml:space="preserve">bis </w:t>
      </w:r>
      <w:r w:rsidRPr="00925158">
        <w:rPr>
          <w:rFonts w:asciiTheme="minorHAnsi" w:hAnsiTheme="minorHAnsi" w:cs="Times New Roman"/>
        </w:rPr>
        <w:t>della legge 10 ottobre 1990, n. 287, così come richiamato dall’art. 5, comma 3, del Decreto legislativo 19 agosto 2016, n. 175 (“</w:t>
      </w:r>
      <w:r w:rsidRPr="00925158">
        <w:rPr>
          <w:rFonts w:asciiTheme="minorHAnsi" w:hAnsiTheme="minorHAnsi" w:cs="Times New Roman"/>
          <w:i/>
          <w:iCs/>
        </w:rPr>
        <w:t>Testo unico in materia di società a partecipazione pubblica</w:t>
      </w:r>
      <w:r w:rsidRPr="00925158">
        <w:rPr>
          <w:rFonts w:asciiTheme="minorHAnsi" w:hAnsiTheme="minorHAnsi" w:cs="Times New Roman"/>
        </w:rPr>
        <w:t>”, di seguito anche T.U. sulle partecipate), relativamente al contenuto della Delibera n. 3, avente a oggetto “</w:t>
      </w:r>
      <w:r w:rsidRPr="00925158">
        <w:rPr>
          <w:rFonts w:asciiTheme="minorHAnsi" w:hAnsiTheme="minorHAnsi" w:cs="Times New Roman"/>
          <w:i/>
          <w:iCs/>
        </w:rPr>
        <w:t>Delibera del consiglio di Amministrazione n. 164 del 28 ottobre 2016 - Determinazioni</w:t>
      </w:r>
      <w:r w:rsidRPr="00925158">
        <w:rPr>
          <w:rFonts w:asciiTheme="minorHAnsi" w:hAnsiTheme="minorHAnsi" w:cs="Times New Roman"/>
        </w:rPr>
        <w:t xml:space="preserve">”, assunta dal Consiglio di Amministrazione del Consorzio per lo Sviluppo Industriale del Lazio Meridionale (di seguito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il 5 gennaio 2017 e inviata all’Autorità il successivo 24 gennaio in esecuzione di quanto previsto dal richiamato art. 5, comma 3, del T.U. sulle partecipate.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Il </w:t>
      </w:r>
      <w:proofErr w:type="spellStart"/>
      <w:r w:rsidRPr="00925158">
        <w:rPr>
          <w:rFonts w:asciiTheme="minorHAnsi" w:hAnsiTheme="minorHAnsi" w:cs="Times New Roman"/>
        </w:rPr>
        <w:t>Co.Si.Lam</w:t>
      </w:r>
      <w:proofErr w:type="spellEnd"/>
      <w:r w:rsidRPr="00925158">
        <w:rPr>
          <w:rFonts w:asciiTheme="minorHAnsi" w:hAnsiTheme="minorHAnsi" w:cs="Times New Roman"/>
        </w:rPr>
        <w:t>. è un Consorzio per lo Sviluppo Industriale (di seguito CSI) costituito ai sensi della legge regionale Lazio n. 13/19971 e, quindi, rientra nella definizione di “</w:t>
      </w:r>
      <w:r w:rsidRPr="00925158">
        <w:rPr>
          <w:rFonts w:asciiTheme="minorHAnsi" w:hAnsiTheme="minorHAnsi" w:cs="Times New Roman"/>
          <w:i/>
          <w:iCs/>
        </w:rPr>
        <w:t>amministrazioni pubbliche</w:t>
      </w:r>
      <w:r w:rsidRPr="00925158">
        <w:rPr>
          <w:rFonts w:asciiTheme="minorHAnsi" w:hAnsiTheme="minorHAnsi" w:cs="Times New Roman"/>
        </w:rPr>
        <w:t xml:space="preserve">” di cui all’art. 2, comma 1, </w:t>
      </w:r>
      <w:proofErr w:type="spellStart"/>
      <w:r w:rsidRPr="00925158">
        <w:rPr>
          <w:rFonts w:asciiTheme="minorHAnsi" w:hAnsiTheme="minorHAnsi" w:cs="Times New Roman"/>
        </w:rPr>
        <w:t>lett</w:t>
      </w:r>
      <w:proofErr w:type="spellEnd"/>
      <w:r w:rsidRPr="00925158">
        <w:rPr>
          <w:rFonts w:asciiTheme="minorHAnsi" w:hAnsiTheme="minorHAnsi" w:cs="Times New Roman"/>
        </w:rPr>
        <w:t xml:space="preserve">. </w:t>
      </w:r>
      <w:r w:rsidRPr="00925158">
        <w:rPr>
          <w:rFonts w:asciiTheme="minorHAnsi" w:hAnsiTheme="minorHAnsi" w:cs="Times New Roman"/>
          <w:i/>
          <w:iCs/>
        </w:rPr>
        <w:t>a</w:t>
      </w:r>
      <w:r w:rsidRPr="00925158">
        <w:rPr>
          <w:rFonts w:asciiTheme="minorHAnsi" w:hAnsiTheme="minorHAnsi" w:cs="Times New Roman"/>
        </w:rPr>
        <w:t xml:space="preserve">), del T.U. sulle partecipate, in quanto i CSI sono definiti, dall’art. 2, comma 1, della richiamata legge regionale, come enti pubblici economici2.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1 Legge Regione Lazio, 29 maggio 1997, n. 13, recante “</w:t>
      </w:r>
      <w:r w:rsidRPr="00925158">
        <w:rPr>
          <w:rFonts w:asciiTheme="minorHAnsi" w:hAnsiTheme="minorHAnsi" w:cs="Times New Roman"/>
          <w:i/>
          <w:iCs/>
        </w:rPr>
        <w:t>Consorzi per le aree e i nuclei di sviluppo industriale</w:t>
      </w:r>
      <w:r w:rsidRPr="00925158">
        <w:rPr>
          <w:rFonts w:asciiTheme="minorHAnsi" w:hAnsiTheme="minorHAnsi" w:cs="Times New Roman"/>
        </w:rPr>
        <w:t xml:space="preserve">”, in B.U.R: Lazio, 10 giugno 1997, n. 16, S.O., n. 3.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2 Art. 2, comma 1, </w:t>
      </w:r>
      <w:proofErr w:type="spellStart"/>
      <w:r w:rsidRPr="00925158">
        <w:rPr>
          <w:rFonts w:asciiTheme="minorHAnsi" w:hAnsiTheme="minorHAnsi" w:cs="Times New Roman"/>
        </w:rPr>
        <w:t>lett</w:t>
      </w:r>
      <w:proofErr w:type="spellEnd"/>
      <w:r w:rsidRPr="00925158">
        <w:rPr>
          <w:rFonts w:asciiTheme="minorHAnsi" w:hAnsiTheme="minorHAnsi" w:cs="Times New Roman"/>
        </w:rPr>
        <w:t>. a), T.U. Partecipate: “</w:t>
      </w:r>
      <w:r w:rsidRPr="00925158">
        <w:rPr>
          <w:rFonts w:asciiTheme="minorHAnsi" w:hAnsiTheme="minorHAnsi" w:cs="Times New Roman"/>
          <w:i/>
          <w:iCs/>
        </w:rPr>
        <w:t xml:space="preserve">ai fini del presente decreto si intendono per: a) «amministrazioni pubbliche»: le amministrazioni di cui all’art. 1, comma 2, del decreto legislativo n. 165 del 2001, i loro consorzi o associazioni per qualsiasi fine istituiti, </w:t>
      </w:r>
      <w:r w:rsidRPr="00925158">
        <w:rPr>
          <w:rFonts w:asciiTheme="minorHAnsi" w:hAnsiTheme="minorHAnsi" w:cs="Times New Roman"/>
          <w:b/>
          <w:bCs/>
          <w:i/>
          <w:iCs/>
        </w:rPr>
        <w:t xml:space="preserve">gli enti pubblici economici </w:t>
      </w:r>
      <w:r w:rsidRPr="00925158">
        <w:rPr>
          <w:rFonts w:asciiTheme="minorHAnsi" w:hAnsiTheme="minorHAnsi" w:cs="Times New Roman"/>
          <w:i/>
          <w:iCs/>
        </w:rPr>
        <w:t>e le autorità portuali</w:t>
      </w:r>
      <w:r w:rsidRPr="00925158">
        <w:rPr>
          <w:rFonts w:asciiTheme="minorHAnsi" w:hAnsiTheme="minorHAnsi" w:cs="Times New Roman"/>
        </w:rPr>
        <w:t xml:space="preserve">” (enfasi aggiunta).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Il Consiglio di amministrazione del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con la delibera n. 3/2017, ha, contestualmente, deciso di: 1) acquistare una partecipazione del 15% nel capitale sociale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e 2) affidarle </w:t>
      </w:r>
      <w:r w:rsidRPr="00925158">
        <w:rPr>
          <w:rFonts w:asciiTheme="minorHAnsi" w:hAnsiTheme="minorHAnsi" w:cs="Times New Roman"/>
          <w:i/>
          <w:iCs/>
        </w:rPr>
        <w:t xml:space="preserve">in house </w:t>
      </w:r>
      <w:proofErr w:type="spellStart"/>
      <w:r w:rsidRPr="00925158">
        <w:rPr>
          <w:rFonts w:asciiTheme="minorHAnsi" w:hAnsiTheme="minorHAnsi" w:cs="Times New Roman"/>
          <w:i/>
          <w:iCs/>
        </w:rPr>
        <w:t>providing</w:t>
      </w:r>
      <w:proofErr w:type="spellEnd"/>
      <w:r w:rsidRPr="00925158">
        <w:rPr>
          <w:rFonts w:asciiTheme="minorHAnsi" w:hAnsiTheme="minorHAnsi" w:cs="Times New Roman"/>
        </w:rPr>
        <w:t xml:space="preserve">, per quindici anni e per un valore di oltre 27 milioni di euro, la gestione, conduzione e manutenzione ordinaria e straordinaria dei propri impianti di Aquino e Villa - Santa Lucia/Cassino, comprensivi delle pertinenti stazioni di sollevamento, utilizzati per la depurazione delle acque reflue industriali delle imprese attive nel distretto industriale di competenza del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w:t>
      </w:r>
    </w:p>
    <w:p w:rsidR="00925158" w:rsidRPr="00925158" w:rsidRDefault="00925158" w:rsidP="00925158">
      <w:pPr>
        <w:pStyle w:val="Default"/>
        <w:rPr>
          <w:rFonts w:asciiTheme="minorHAnsi" w:hAnsiTheme="minorHAnsi" w:cs="Times New Roman"/>
        </w:rPr>
      </w:pP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è una società pariteticamente partecipata dai CSI di Rieti e di Frosinone di cui gestisce i relativi impianti di depurazione delle acque reflue industriali. A seguito dell’ingresso di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nel capitale sociale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la quota azionaria che permane in capo ai due soci fondatori è pari al 42,5% ciascuno. </w:t>
      </w:r>
    </w:p>
    <w:p w:rsidR="006014D1" w:rsidRDefault="00925158" w:rsidP="00925158">
      <w:pPr>
        <w:pStyle w:val="Default"/>
        <w:rPr>
          <w:rFonts w:asciiTheme="minorHAnsi" w:hAnsiTheme="minorHAnsi" w:cs="Times New Roman"/>
        </w:rPr>
      </w:pPr>
      <w:r w:rsidRPr="00925158">
        <w:rPr>
          <w:rFonts w:asciiTheme="minorHAnsi" w:hAnsiTheme="minorHAnsi" w:cs="Times New Roman"/>
        </w:rPr>
        <w:t xml:space="preserve">Gli accordi raggiunti tra le Parti includono l’approvazione di alcune modifiche allo Statuto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con riguardo, in particolare, alla composizione, designazione e funzionamento di tutti gli </w:t>
      </w:r>
    </w:p>
    <w:p w:rsidR="006014D1" w:rsidRDefault="006014D1" w:rsidP="00925158">
      <w:pPr>
        <w:pStyle w:val="Default"/>
        <w:rPr>
          <w:rFonts w:asciiTheme="minorHAnsi" w:hAnsiTheme="minorHAnsi" w:cs="Times New Roman"/>
        </w:rPr>
      </w:pP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BOLLETTINO N. 23 DEL 19 GIUGNO 2017 </w:t>
      </w:r>
    </w:p>
    <w:p w:rsidR="00925158" w:rsidRPr="00925158" w:rsidRDefault="00925158" w:rsidP="00925158">
      <w:pPr>
        <w:pStyle w:val="Default"/>
        <w:pageBreakBefore/>
        <w:rPr>
          <w:rFonts w:asciiTheme="minorHAnsi" w:hAnsiTheme="minorHAnsi" w:cs="Times New Roman"/>
        </w:rPr>
      </w:pPr>
      <w:r w:rsidRPr="00925158">
        <w:rPr>
          <w:rFonts w:asciiTheme="minorHAnsi" w:hAnsiTheme="minorHAnsi" w:cs="Times New Roman"/>
        </w:rPr>
        <w:lastRenderedPageBreak/>
        <w:t xml:space="preserve">28 </w:t>
      </w:r>
    </w:p>
    <w:p w:rsidR="00925158" w:rsidRPr="00925158" w:rsidRDefault="00925158" w:rsidP="00925158">
      <w:pPr>
        <w:pStyle w:val="Default"/>
        <w:rPr>
          <w:rFonts w:asciiTheme="minorHAnsi" w:hAnsiTheme="minorHAnsi" w:cs="Times New Roman"/>
        </w:rPr>
      </w:pP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organi sociali, compreso il neo-costituito Comitato per il controllo analogo (v. </w:t>
      </w:r>
      <w:r w:rsidRPr="00925158">
        <w:rPr>
          <w:rFonts w:asciiTheme="minorHAnsi" w:hAnsiTheme="minorHAnsi" w:cs="Times New Roman"/>
          <w:i/>
          <w:iCs/>
        </w:rPr>
        <w:t>infra</w:t>
      </w:r>
      <w:r w:rsidRPr="00925158">
        <w:rPr>
          <w:rFonts w:asciiTheme="minorHAnsi" w:hAnsiTheme="minorHAnsi" w:cs="Times New Roman"/>
        </w:rPr>
        <w:t xml:space="preserve">) nonché la sottoscrizione di un Accordo parasociale che disciplina la designazione dei Consiglieri di amministrazione e dei Sindaci della Società. </w:t>
      </w:r>
    </w:p>
    <w:p w:rsidR="00925158" w:rsidRPr="00925158" w:rsidRDefault="00925158" w:rsidP="00925158">
      <w:pPr>
        <w:pStyle w:val="Default"/>
        <w:rPr>
          <w:rFonts w:asciiTheme="minorHAnsi" w:hAnsiTheme="minorHAnsi" w:cs="Times New Roman"/>
        </w:rPr>
      </w:pP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ha motivato la scelta dell’affidamento </w:t>
      </w:r>
      <w:r w:rsidRPr="00925158">
        <w:rPr>
          <w:rFonts w:asciiTheme="minorHAnsi" w:hAnsiTheme="minorHAnsi" w:cs="Times New Roman"/>
          <w:i/>
          <w:iCs/>
        </w:rPr>
        <w:t xml:space="preserve">in house </w:t>
      </w:r>
      <w:r w:rsidRPr="00925158">
        <w:rPr>
          <w:rFonts w:asciiTheme="minorHAnsi" w:hAnsiTheme="minorHAnsi" w:cs="Times New Roman"/>
        </w:rPr>
        <w:t xml:space="preserve">del servizio di gestione dei propri impianti di depurazione essenzialmente in considerazione del risparmio di spesa che assicurerebbe rispetto alla gestione precedente, del mantenimento dei livelli occupazionali e della comprovata </w:t>
      </w:r>
      <w:r w:rsidRPr="00925158">
        <w:rPr>
          <w:rFonts w:asciiTheme="minorHAnsi" w:hAnsiTheme="minorHAnsi" w:cs="Times New Roman"/>
          <w:i/>
          <w:iCs/>
        </w:rPr>
        <w:t xml:space="preserve">expertise </w:t>
      </w:r>
      <w:r w:rsidRPr="00925158">
        <w:rPr>
          <w:rFonts w:asciiTheme="minorHAnsi" w:hAnsiTheme="minorHAnsi" w:cs="Times New Roman"/>
        </w:rPr>
        <w:t xml:space="preserve">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L’Autorità intende svolgere alcune considerazioni in merito al richiamato contenuto della Delibera del Consiglio di Amministrazione del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n. 3/2017 sotto il profilo della sua compatibilità rispetto alle disposizioni che, ai sensi del T.U. sulle partecipate, consentono a un’amministrazione pubblica di acquisire una partecipazione nel capitale di una società a totale o parziale proprietà pubblica.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A questo proposito, l’Autorità rileva, in primo luogo, che la società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non sembra soddisfare l’insieme dei requisiti </w:t>
      </w:r>
      <w:proofErr w:type="spellStart"/>
      <w:r w:rsidRPr="00925158">
        <w:rPr>
          <w:rFonts w:asciiTheme="minorHAnsi" w:hAnsiTheme="minorHAnsi" w:cs="Times New Roman"/>
        </w:rPr>
        <w:t>dell’in</w:t>
      </w:r>
      <w:proofErr w:type="spellEnd"/>
      <w:r w:rsidRPr="00925158">
        <w:rPr>
          <w:rFonts w:asciiTheme="minorHAnsi" w:hAnsiTheme="minorHAnsi" w:cs="Times New Roman"/>
        </w:rPr>
        <w:t xml:space="preserve"> </w:t>
      </w:r>
      <w:r w:rsidRPr="00925158">
        <w:rPr>
          <w:rFonts w:asciiTheme="minorHAnsi" w:hAnsiTheme="minorHAnsi" w:cs="Times New Roman"/>
          <w:i/>
          <w:iCs/>
        </w:rPr>
        <w:t xml:space="preserve">house </w:t>
      </w:r>
      <w:proofErr w:type="spellStart"/>
      <w:r w:rsidRPr="00925158">
        <w:rPr>
          <w:rFonts w:asciiTheme="minorHAnsi" w:hAnsiTheme="minorHAnsi" w:cs="Times New Roman"/>
          <w:i/>
          <w:iCs/>
        </w:rPr>
        <w:t>providing</w:t>
      </w:r>
      <w:proofErr w:type="spellEnd"/>
      <w:r w:rsidRPr="00925158">
        <w:rPr>
          <w:rFonts w:asciiTheme="minorHAnsi" w:hAnsiTheme="minorHAnsi" w:cs="Times New Roman"/>
          <w:i/>
          <w:iCs/>
        </w:rPr>
        <w:t xml:space="preserve"> </w:t>
      </w:r>
      <w:r w:rsidRPr="00925158">
        <w:rPr>
          <w:rFonts w:asciiTheme="minorHAnsi" w:hAnsiTheme="minorHAnsi" w:cs="Times New Roman"/>
        </w:rPr>
        <w:t xml:space="preserve">così come richiamati dall’art. 16 del T.U. sulle partecipate. In particolare, sembrano difettare sia il requisito del cd. controllo analogo congiunto che quello della cd. attività prevalente.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In merito al requisito del cd. controllo analogo congiunto, assumono rilevanza dirimente la composizione, le modalità di designazione e di funzionamento di tutti gli organi sociali e, segnatamente, dell’Assemblea dei soci e del Comitato del controllo analogo che, nel caso di specie, sembrano congegnati in modo tale da assicurare ai soli due soci fondatori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w:t>
      </w:r>
      <w:r w:rsidRPr="00925158">
        <w:rPr>
          <w:rFonts w:asciiTheme="minorHAnsi" w:hAnsiTheme="minorHAnsi" w:cs="Times New Roman"/>
          <w:i/>
          <w:iCs/>
        </w:rPr>
        <w:t xml:space="preserve">i.e. </w:t>
      </w:r>
      <w:r w:rsidRPr="00925158">
        <w:rPr>
          <w:rFonts w:asciiTheme="minorHAnsi" w:hAnsiTheme="minorHAnsi" w:cs="Times New Roman"/>
        </w:rPr>
        <w:t xml:space="preserve">il CSI di Rieti e quello di Frosinone) il controllo analogo congiunto sulla stessa società.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Con riguardo all’Assemblea dei soci, infatti, le maggioranze previste dallo Statuto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per la sua costituzione (80% del capitale in prima convocazione e 60% in seconda convocazione) e per la validità delle sue decisioni (il 60% del capitale sociale in entrambi i casi) possono essere soddisfate solo congiuntamente dal CSI di Rieti e da quello di Frosinone e, di conseguenza, il disaccordo di uno dei due soci di maggioranza relativa è in grado di paralizzare il funzionamento dell’Assemblea3.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3 Inoltre,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(a differenza degli altri due soci) non potrebbe da solo mai richiedere e ottenere la convocazione dell’Assemblea. L’Assemblea, infatti, si riunisce, oltre che nei casi previsti dallo Statuto, su richiesta di due componenti il </w:t>
      </w:r>
      <w:proofErr w:type="spellStart"/>
      <w:r w:rsidRPr="00925158">
        <w:rPr>
          <w:rFonts w:asciiTheme="minorHAnsi" w:hAnsiTheme="minorHAnsi" w:cs="Times New Roman"/>
        </w:rPr>
        <w:t>CdA</w:t>
      </w:r>
      <w:proofErr w:type="spellEnd"/>
      <w:r w:rsidRPr="00925158">
        <w:rPr>
          <w:rFonts w:asciiTheme="minorHAnsi" w:hAnsiTheme="minorHAnsi" w:cs="Times New Roman"/>
        </w:rPr>
        <w:t xml:space="preserve"> o di un solo socio che sia titolare di almeno 1/3 del capitale sociale, maggioranza che solo il CSI di Rieti e quello di Frosinone possono anche singolarmente raggiunge dal momento che ciascuno detiene il 42,5% del capitale sociale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(art. 3 dello Statuto).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4 L’Assemblea dei soci, in particolare, approva il bilancio, nomina i componenti del Comitato del controllo analogo, approva il relativo Regolamento, nomina e revoca il Presidente e i componenti il Consiglio di Amministrazione e approva il Piano degli investimenti annuale e pluriennale di sviluppo, dell’organigramma, degli indirizzi di gestione dei beni e dei servizi pubblici affidati </w:t>
      </w:r>
      <w:r w:rsidRPr="00925158">
        <w:rPr>
          <w:rFonts w:asciiTheme="minorHAnsi" w:hAnsiTheme="minorHAnsi" w:cs="Times New Roman"/>
          <w:i/>
          <w:iCs/>
        </w:rPr>
        <w:t xml:space="preserve">in house </w:t>
      </w:r>
      <w:r w:rsidRPr="00925158">
        <w:rPr>
          <w:rFonts w:asciiTheme="minorHAnsi" w:hAnsiTheme="minorHAnsi" w:cs="Times New Roman"/>
        </w:rPr>
        <w:t xml:space="preserve">alla società e la relazione programmatica annuale e pluriennale.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In considerazione dei fondamentali poteri di indirizzo e organizzazione rimessi all’Assemblea dei soci4 sembra, quindi, possibile concludere che il requisito del cd. controllo analogo congiunto tra tutti i soci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non possa ritenersi integrato, in quanto esso appare permanere in capo soltanto ai due soci originari, privando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del potere di incidere effettivamente sulle decisione strategiche della Società.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Questa valutazione è, del resto, ulteriormente confermata dalla composizione e dal funzionamento del Comitato del controllo analogo e di tutti gli altri organi sociali. </w:t>
      </w:r>
    </w:p>
    <w:p w:rsidR="00925158" w:rsidRDefault="00925158" w:rsidP="00925158">
      <w:pPr>
        <w:pStyle w:val="Default"/>
        <w:rPr>
          <w:rFonts w:asciiTheme="minorHAnsi" w:hAnsiTheme="minorHAnsi" w:cs="Times New Roman"/>
        </w:rPr>
      </w:pPr>
      <w:r w:rsidRPr="00925158">
        <w:rPr>
          <w:rFonts w:asciiTheme="minorHAnsi" w:hAnsiTheme="minorHAnsi" w:cs="Times New Roman"/>
        </w:rPr>
        <w:t xml:space="preserve">Anche il meccanismo di funzionamento del Comitato del controllo analogo e le modalità di designazione dei suoi componenti appaiono, infatti, congegnati in modo da garantirne il controllo analogo congiuntamente ai soli CSI di Rieti e di Frosinone, in quanto essi sono in grado di controllare 5/6 dei suoi componenti. Tale organo, infatti, è formato da sei rappresentanti nominati dall’Assemblea - con le maggioranze indicate in precedenza - previa designazione dei soci in </w:t>
      </w:r>
    </w:p>
    <w:p w:rsidR="00925158" w:rsidRDefault="00925158" w:rsidP="00925158">
      <w:pPr>
        <w:pStyle w:val="Default"/>
        <w:rPr>
          <w:rFonts w:asciiTheme="minorHAnsi" w:hAnsiTheme="minorHAnsi" w:cs="Times New Roman"/>
        </w:rPr>
      </w:pP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BOLLETTINO N. 23 DEL 19 GIUGNO 2017 </w:t>
      </w:r>
    </w:p>
    <w:p w:rsidR="00925158" w:rsidRPr="00925158" w:rsidRDefault="00925158" w:rsidP="00925158">
      <w:pPr>
        <w:pStyle w:val="Default"/>
        <w:pageBreakBefore/>
        <w:rPr>
          <w:rFonts w:asciiTheme="minorHAnsi" w:hAnsiTheme="minorHAnsi" w:cs="Times New Roman"/>
        </w:rPr>
      </w:pPr>
      <w:r w:rsidRPr="00925158">
        <w:rPr>
          <w:rFonts w:asciiTheme="minorHAnsi" w:hAnsiTheme="minorHAnsi" w:cs="Times New Roman"/>
        </w:rPr>
        <w:lastRenderedPageBreak/>
        <w:t xml:space="preserve">29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ragione: di due per ciascuno dei soci originari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di uno per </w:t>
      </w:r>
      <w:proofErr w:type="spellStart"/>
      <w:r w:rsidRPr="00925158">
        <w:rPr>
          <w:rFonts w:asciiTheme="minorHAnsi" w:hAnsiTheme="minorHAnsi" w:cs="Times New Roman"/>
        </w:rPr>
        <w:t>Co.Si.Lam</w:t>
      </w:r>
      <w:proofErr w:type="spellEnd"/>
      <w:r w:rsidRPr="00925158">
        <w:rPr>
          <w:rFonts w:asciiTheme="minorHAnsi" w:hAnsiTheme="minorHAnsi" w:cs="Times New Roman"/>
        </w:rPr>
        <w:t>., e di uno scelto di comune accordo dai due soci fondatori</w:t>
      </w:r>
      <w:r>
        <w:rPr>
          <w:rFonts w:asciiTheme="minorHAnsi" w:hAnsiTheme="minorHAnsi" w:cs="Times New Roman"/>
        </w:rPr>
        <w:t>5</w:t>
      </w:r>
      <w:r w:rsidRPr="00925158">
        <w:rPr>
          <w:rFonts w:asciiTheme="minorHAnsi" w:hAnsiTheme="minorHAnsi" w:cs="Times New Roman"/>
        </w:rPr>
        <w:t xml:space="preserv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5 Alle riunioni del Comitato del controllo partecipa anche l’Amministratore delegato senza diritto di voto che è nominato su designazione dei due soci originari (art. 2 del “</w:t>
      </w:r>
      <w:r w:rsidRPr="00925158">
        <w:rPr>
          <w:rFonts w:asciiTheme="minorHAnsi" w:hAnsiTheme="minorHAnsi" w:cs="Times New Roman"/>
          <w:i/>
          <w:iCs/>
        </w:rPr>
        <w:t>Regolamento del comitato di indirizzo strategico e controllo analogo e congiunto</w:t>
      </w:r>
      <w:r w:rsidRPr="00925158">
        <w:rPr>
          <w:rFonts w:asciiTheme="minorHAnsi" w:hAnsiTheme="minorHAnsi" w:cs="Times New Roman"/>
        </w:rPr>
        <w:t xml:space="preserv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6 Per completezza sul punto, si osserva, altresì che avendo il CSI di Rieti e il CSI di Frosinone congiuntamente il controllo dell’Assemblea dei soci, essi sono di esprimere i proprio dissenso rispetto al nominativo designato da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inducendo, nel caso, quest’ultimo a modificare la propria nomina in senso più gradito agli altri soci.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7 </w:t>
      </w:r>
      <w:proofErr w:type="spellStart"/>
      <w:r w:rsidRPr="00925158">
        <w:rPr>
          <w:rFonts w:asciiTheme="minorHAnsi" w:hAnsiTheme="minorHAnsi" w:cs="Times New Roman"/>
        </w:rPr>
        <w:t>Vd</w:t>
      </w:r>
      <w:proofErr w:type="spellEnd"/>
      <w:r w:rsidRPr="00925158">
        <w:rPr>
          <w:rFonts w:asciiTheme="minorHAnsi" w:hAnsiTheme="minorHAnsi" w:cs="Times New Roman"/>
        </w:rPr>
        <w:t xml:space="preserve">. art. 2 dell’Accordo parasociale. Il Presidente del </w:t>
      </w:r>
      <w:proofErr w:type="spellStart"/>
      <w:r w:rsidRPr="00925158">
        <w:rPr>
          <w:rFonts w:asciiTheme="minorHAnsi" w:hAnsiTheme="minorHAnsi" w:cs="Times New Roman"/>
        </w:rPr>
        <w:t>CdA</w:t>
      </w:r>
      <w:proofErr w:type="spellEnd"/>
      <w:r w:rsidRPr="00925158">
        <w:rPr>
          <w:rFonts w:asciiTheme="minorHAnsi" w:hAnsiTheme="minorHAnsi" w:cs="Times New Roman"/>
        </w:rPr>
        <w:t xml:space="preserve"> è, invece, nominato su designazione del CSI di Frosinone tra i componenti il </w:t>
      </w:r>
      <w:proofErr w:type="spellStart"/>
      <w:r w:rsidRPr="00925158">
        <w:rPr>
          <w:rFonts w:asciiTheme="minorHAnsi" w:hAnsiTheme="minorHAnsi" w:cs="Times New Roman"/>
        </w:rPr>
        <w:t>CdA</w:t>
      </w:r>
      <w:proofErr w:type="spellEnd"/>
      <w:r w:rsidRPr="00925158">
        <w:rPr>
          <w:rFonts w:asciiTheme="minorHAnsi" w:hAnsiTheme="minorHAnsi" w:cs="Times New Roman"/>
        </w:rPr>
        <w:t xml:space="preserve"> (</w:t>
      </w:r>
      <w:proofErr w:type="spellStart"/>
      <w:r w:rsidRPr="00925158">
        <w:rPr>
          <w:rFonts w:asciiTheme="minorHAnsi" w:hAnsiTheme="minorHAnsi" w:cs="Times New Roman"/>
        </w:rPr>
        <w:t>vd</w:t>
      </w:r>
      <w:proofErr w:type="spellEnd"/>
      <w:r w:rsidRPr="00925158">
        <w:rPr>
          <w:rFonts w:asciiTheme="minorHAnsi" w:hAnsiTheme="minorHAnsi" w:cs="Times New Roman"/>
        </w:rPr>
        <w:t xml:space="preserve">. art 2, Accordo parasociale, ultima frase).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8 Da quanto precede è possibile, altresì, ritenere che il c.d. stallo decisionale di cui all’art. 8 dello Statuto (e al quale rinvia anche l’art. 6 dell’Accordo parasociale) dell’assemblea del </w:t>
      </w:r>
      <w:proofErr w:type="spellStart"/>
      <w:r w:rsidRPr="00925158">
        <w:rPr>
          <w:rFonts w:asciiTheme="minorHAnsi" w:hAnsiTheme="minorHAnsi" w:cs="Times New Roman"/>
        </w:rPr>
        <w:t>CdA</w:t>
      </w:r>
      <w:proofErr w:type="spellEnd"/>
      <w:r w:rsidRPr="00925158">
        <w:rPr>
          <w:rFonts w:asciiTheme="minorHAnsi" w:hAnsiTheme="minorHAnsi" w:cs="Times New Roman"/>
        </w:rPr>
        <w:t xml:space="preserve"> possa verificarsi solo in caso di disaccordo tra i due soci di maggioranza. Si rappresenta che, in forza dell’accordo parasociale, la funzione di arbitro, amichevole compositore, è affidata </w:t>
      </w:r>
      <w:proofErr w:type="spellStart"/>
      <w:r w:rsidRPr="00925158">
        <w:rPr>
          <w:rFonts w:asciiTheme="minorHAnsi" w:hAnsiTheme="minorHAnsi" w:cs="Times New Roman"/>
        </w:rPr>
        <w:t>all’Ad</w:t>
      </w:r>
      <w:proofErr w:type="spellEnd"/>
      <w:r w:rsidRPr="00925158">
        <w:rPr>
          <w:rFonts w:asciiTheme="minorHAnsi" w:hAnsiTheme="minorHAnsi" w:cs="Times New Roman"/>
        </w:rPr>
        <w:t xml:space="preserve"> che, si ricorda, è da individuarsi nel Consigliere di amministrazione nominato di comune accordo dal CSI Rieti e dal CSI Frosinone.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9 </w:t>
      </w:r>
      <w:proofErr w:type="spellStart"/>
      <w:r w:rsidRPr="00925158">
        <w:rPr>
          <w:rFonts w:asciiTheme="minorHAnsi" w:hAnsiTheme="minorHAnsi" w:cs="Times New Roman"/>
        </w:rPr>
        <w:t>Vd</w:t>
      </w:r>
      <w:proofErr w:type="spellEnd"/>
      <w:r w:rsidRPr="00925158">
        <w:rPr>
          <w:rFonts w:asciiTheme="minorHAnsi" w:hAnsiTheme="minorHAnsi" w:cs="Times New Roman"/>
        </w:rPr>
        <w:t xml:space="preserve">. art. 3 del Patto parasociale. I compiti rimessi al Collegio sindacale sono quelli di vigilare sull’osservanza della legge e dello Statuto, sui principi di corretta amministrazione e in particolare sull’adeguatezza dell’assetto organizzativo amministrativo contabile adottato dalla società e sul suo corretto funzionamento.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10 Non essendo previsto diversamente, deve ritenersi che trovino applicazione, con riguardo alle maggioranze richieste per la costituzione e la deliberazione del Collegio sindacale quanto disposto dall’art. 2404 c.c., vale a dire il </w:t>
      </w:r>
      <w:r w:rsidRPr="00925158">
        <w:rPr>
          <w:rFonts w:asciiTheme="minorHAnsi" w:hAnsiTheme="minorHAnsi" w:cs="Times New Roman"/>
          <w:i/>
          <w:iCs/>
        </w:rPr>
        <w:t xml:space="preserve">quorum </w:t>
      </w:r>
      <w:r w:rsidRPr="00925158">
        <w:rPr>
          <w:rFonts w:asciiTheme="minorHAnsi" w:hAnsiTheme="minorHAnsi" w:cs="Times New Roman"/>
        </w:rPr>
        <w:t xml:space="preserve">della maggioranza dei sindaci per la costituzione e la maggioranza dei presenti per la validità delle deliberazioni.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Il Regolamento del Comitato del controllo non prevede maggioranze specifiche per la validità della sua costituzione e delle sue deliberazioni e, pertanto, devono ritenersi applicabili il </w:t>
      </w:r>
      <w:r w:rsidRPr="00925158">
        <w:rPr>
          <w:rFonts w:asciiTheme="minorHAnsi" w:hAnsiTheme="minorHAnsi" w:cs="Times New Roman"/>
          <w:i/>
          <w:iCs/>
        </w:rPr>
        <w:t xml:space="preserve">quorum costituendi </w:t>
      </w:r>
      <w:r w:rsidRPr="00925158">
        <w:rPr>
          <w:rFonts w:asciiTheme="minorHAnsi" w:hAnsiTheme="minorHAnsi" w:cs="Times New Roman"/>
        </w:rPr>
        <w:t xml:space="preserve">della maggioranza assoluta e quello </w:t>
      </w:r>
      <w:proofErr w:type="spellStart"/>
      <w:r w:rsidRPr="00925158">
        <w:rPr>
          <w:rFonts w:asciiTheme="minorHAnsi" w:hAnsiTheme="minorHAnsi" w:cs="Times New Roman"/>
          <w:i/>
          <w:iCs/>
        </w:rPr>
        <w:t>deliberandi</w:t>
      </w:r>
      <w:proofErr w:type="spellEnd"/>
      <w:r w:rsidRPr="00925158">
        <w:rPr>
          <w:rFonts w:asciiTheme="minorHAnsi" w:hAnsiTheme="minorHAnsi" w:cs="Times New Roman"/>
          <w:i/>
          <w:iCs/>
        </w:rPr>
        <w:t xml:space="preserve"> </w:t>
      </w:r>
      <w:r w:rsidRPr="00925158">
        <w:rPr>
          <w:rFonts w:asciiTheme="minorHAnsi" w:hAnsiTheme="minorHAnsi" w:cs="Times New Roman"/>
        </w:rPr>
        <w:t xml:space="preserve">della maggioranza assoluta dei presenti: questi </w:t>
      </w:r>
      <w:r w:rsidRPr="00925158">
        <w:rPr>
          <w:rFonts w:asciiTheme="minorHAnsi" w:hAnsiTheme="minorHAnsi" w:cs="Times New Roman"/>
          <w:i/>
          <w:iCs/>
        </w:rPr>
        <w:t>quorum</w:t>
      </w:r>
      <w:r w:rsidRPr="00925158">
        <w:rPr>
          <w:rFonts w:asciiTheme="minorHAnsi" w:hAnsiTheme="minorHAnsi" w:cs="Times New Roman"/>
        </w:rPr>
        <w:t xml:space="preserve">, quindi, consentono al CSI di Rieti e a quello di Frosinone di esercitare congiuntamente il controllo sul Comitato del controllo analogo.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Ai fini del raggiungimento delle maggioranze richieste, infatti, non è immaginabile la formazione di un’alleanza diversa di quella tra i due Consorzi di Rieti e di Frosinone il cui reciproco dissenso è in grado, anche in questo caso, di paralizzare il funzionamento del Comitato del controllo, e quindi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di nuovo non sembra in condizione di poter incidere in modo effettivo neppure sulle decisioni dello stesso Comitato6.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Le modalità di designazione dei componenti del Consiglio di Amministrazione (di seguito </w:t>
      </w:r>
      <w:proofErr w:type="spellStart"/>
      <w:r w:rsidRPr="00925158">
        <w:rPr>
          <w:rFonts w:asciiTheme="minorHAnsi" w:hAnsiTheme="minorHAnsi" w:cs="Times New Roman"/>
        </w:rPr>
        <w:t>CdA</w:t>
      </w:r>
      <w:proofErr w:type="spellEnd"/>
      <w:r w:rsidRPr="00925158">
        <w:rPr>
          <w:rFonts w:asciiTheme="minorHAnsi" w:hAnsiTheme="minorHAnsi" w:cs="Times New Roman"/>
        </w:rPr>
        <w:t xml:space="preserve">) e del Consiglio sindacale presentano anch’esse le stesse caratteristiche degli organi sociali precedentemente descritti. Il </w:t>
      </w:r>
      <w:proofErr w:type="spellStart"/>
      <w:r w:rsidRPr="00925158">
        <w:rPr>
          <w:rFonts w:asciiTheme="minorHAnsi" w:hAnsiTheme="minorHAnsi" w:cs="Times New Roman"/>
        </w:rPr>
        <w:t>CdA</w:t>
      </w:r>
      <w:proofErr w:type="spellEnd"/>
      <w:r w:rsidRPr="00925158">
        <w:rPr>
          <w:rFonts w:asciiTheme="minorHAnsi" w:hAnsiTheme="minorHAnsi" w:cs="Times New Roman"/>
        </w:rPr>
        <w:t>, infatti, è formato da cinque componenti designati come segue: uno da ciascun Consorzio socio, uno di comune accordo tra tutti i soci e, infine, uno di comune accordo dai due soci originari (</w:t>
      </w:r>
      <w:r w:rsidRPr="00925158">
        <w:rPr>
          <w:rFonts w:asciiTheme="minorHAnsi" w:hAnsiTheme="minorHAnsi" w:cs="Times New Roman"/>
          <w:i/>
          <w:iCs/>
        </w:rPr>
        <w:t xml:space="preserve">i.e. </w:t>
      </w:r>
      <w:r w:rsidRPr="00925158">
        <w:rPr>
          <w:rFonts w:asciiTheme="minorHAnsi" w:hAnsiTheme="minorHAnsi" w:cs="Times New Roman"/>
        </w:rPr>
        <w:t xml:space="preserve">i CSI di Rieti e Frosinone) sentito il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quest’ultimo Consigliere assumerà, altresì, l’incarico di Amministratore delegato7. Non essendo previste diverse maggioranze, devono ritenersi applicabili quelle di cui all’art. 2388 c.c. che prescrive, come </w:t>
      </w:r>
      <w:r w:rsidRPr="00925158">
        <w:rPr>
          <w:rFonts w:asciiTheme="minorHAnsi" w:hAnsiTheme="minorHAnsi" w:cs="Times New Roman"/>
          <w:i/>
          <w:iCs/>
        </w:rPr>
        <w:t>quorum costituendi</w:t>
      </w:r>
      <w:r w:rsidRPr="00925158">
        <w:rPr>
          <w:rFonts w:asciiTheme="minorHAnsi" w:hAnsiTheme="minorHAnsi" w:cs="Times New Roman"/>
        </w:rPr>
        <w:t xml:space="preserve">, la maggioranza assoluta e, come </w:t>
      </w:r>
      <w:r w:rsidRPr="00925158">
        <w:rPr>
          <w:rFonts w:asciiTheme="minorHAnsi" w:hAnsiTheme="minorHAnsi" w:cs="Times New Roman"/>
          <w:i/>
          <w:iCs/>
        </w:rPr>
        <w:t xml:space="preserve">quorum </w:t>
      </w:r>
      <w:proofErr w:type="spellStart"/>
      <w:r w:rsidRPr="00925158">
        <w:rPr>
          <w:rFonts w:asciiTheme="minorHAnsi" w:hAnsiTheme="minorHAnsi" w:cs="Times New Roman"/>
          <w:i/>
          <w:iCs/>
        </w:rPr>
        <w:t>deliberandi</w:t>
      </w:r>
      <w:proofErr w:type="spellEnd"/>
      <w:r w:rsidRPr="00925158">
        <w:rPr>
          <w:rFonts w:asciiTheme="minorHAnsi" w:hAnsiTheme="minorHAnsi" w:cs="Times New Roman"/>
        </w:rPr>
        <w:t xml:space="preserve">, la maggioranza dei presenti. Pertanto, anche in seno al </w:t>
      </w:r>
      <w:proofErr w:type="spellStart"/>
      <w:r w:rsidRPr="00925158">
        <w:rPr>
          <w:rFonts w:asciiTheme="minorHAnsi" w:hAnsiTheme="minorHAnsi" w:cs="Times New Roman"/>
        </w:rPr>
        <w:t>CdA</w:t>
      </w:r>
      <w:proofErr w:type="spellEnd"/>
      <w:r w:rsidRPr="00925158">
        <w:rPr>
          <w:rFonts w:asciiTheme="minorHAnsi" w:hAnsiTheme="minorHAnsi" w:cs="Times New Roman"/>
        </w:rPr>
        <w:t xml:space="preserve"> solo i soci fondatori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sono in grado insieme di conseguire le maggioranze richieste per il suo funzionamento e, peraltro, designano altresì congiuntamente l’Amministratore delegato8.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Il Collegio sindacale, a sua volta, è disciplinato in modo da assicurare l’effettivo potere decisionale in capo ai soli due soci fondatori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posto che esso è composto: (i) da tre sindaci effettivi, di cui due sono designati dal CSI di Frosinone mentre il CSI di Rieti designa il Presidente e (ii) da due sindaci supplenti designati uno per ciascuno dal CSI di Rieti e dal CSI di Frosinone9. Il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quindi, non interviene concretamente nella scelta di nessuno dei componenti il Collegio sindacale10. </w:t>
      </w:r>
    </w:p>
    <w:p w:rsidR="006014D1" w:rsidRDefault="00925158" w:rsidP="00925158">
      <w:pPr>
        <w:pStyle w:val="Default"/>
        <w:rPr>
          <w:rFonts w:asciiTheme="minorHAnsi" w:hAnsiTheme="minorHAnsi" w:cs="Times New Roman"/>
        </w:rPr>
      </w:pPr>
      <w:r w:rsidRPr="00925158">
        <w:rPr>
          <w:rFonts w:asciiTheme="minorHAnsi" w:hAnsiTheme="minorHAnsi" w:cs="Times New Roman"/>
        </w:rPr>
        <w:t xml:space="preserve">Le fondate criticità emerse in merito alla sussistenza di un controllo analogo congiunto in capo ai tre soci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appaiono, del resto, confermate dall’art. 11 dell’Accordo parasociale in cui, </w:t>
      </w:r>
    </w:p>
    <w:p w:rsidR="00925158" w:rsidRPr="00925158" w:rsidRDefault="00925158" w:rsidP="00925158">
      <w:pPr>
        <w:pStyle w:val="Default"/>
        <w:pageBreakBefore/>
        <w:rPr>
          <w:rFonts w:asciiTheme="minorHAnsi" w:hAnsiTheme="minorHAnsi" w:cs="Times New Roman"/>
        </w:rPr>
      </w:pPr>
      <w:r w:rsidRPr="00925158">
        <w:rPr>
          <w:rFonts w:asciiTheme="minorHAnsi" w:hAnsiTheme="minorHAnsi" w:cs="Times New Roman"/>
        </w:rPr>
        <w:lastRenderedPageBreak/>
        <w:t xml:space="preserve">30 </w:t>
      </w:r>
    </w:p>
    <w:p w:rsidR="00925158" w:rsidRPr="00925158" w:rsidRDefault="00925158" w:rsidP="00925158">
      <w:pPr>
        <w:pStyle w:val="Default"/>
        <w:rPr>
          <w:rFonts w:asciiTheme="minorHAnsi" w:hAnsiTheme="minorHAnsi"/>
        </w:rPr>
      </w:pPr>
      <w:r w:rsidRPr="00925158">
        <w:rPr>
          <w:rFonts w:asciiTheme="minorHAnsi" w:hAnsiTheme="minorHAnsi" w:cs="Times New Roman"/>
        </w:rPr>
        <w:t>testualmente, si legge che: “</w:t>
      </w:r>
      <w:proofErr w:type="spellStart"/>
      <w:r w:rsidRPr="00925158">
        <w:rPr>
          <w:rFonts w:asciiTheme="minorHAnsi" w:hAnsiTheme="minorHAnsi" w:cs="Times New Roman"/>
          <w:i/>
          <w:iCs/>
        </w:rPr>
        <w:t>Co.Si.Lam</w:t>
      </w:r>
      <w:proofErr w:type="spellEnd"/>
      <w:r w:rsidRPr="00925158">
        <w:rPr>
          <w:rFonts w:asciiTheme="minorHAnsi" w:hAnsiTheme="minorHAnsi" w:cs="Times New Roman"/>
          <w:i/>
          <w:iCs/>
        </w:rPr>
        <w:t xml:space="preserve">. prende atti e accetta con la firma del presente accordo, che i CSI di Rieti e Frosinone in data 01/07/2016 hanno convenuto che, ove dovesse modificarsi la attuale compagine sociale di </w:t>
      </w:r>
      <w:proofErr w:type="spellStart"/>
      <w:r w:rsidRPr="00925158">
        <w:rPr>
          <w:rFonts w:asciiTheme="minorHAnsi" w:hAnsiTheme="minorHAnsi" w:cs="Times New Roman"/>
          <w:i/>
          <w:iCs/>
        </w:rPr>
        <w:t>AeA</w:t>
      </w:r>
      <w:proofErr w:type="spellEnd"/>
      <w:r w:rsidRPr="00925158">
        <w:rPr>
          <w:rFonts w:asciiTheme="minorHAnsi" w:hAnsiTheme="minorHAnsi" w:cs="Times New Roman"/>
          <w:i/>
          <w:iCs/>
        </w:rPr>
        <w:t xml:space="preserve"> </w:t>
      </w:r>
      <w:proofErr w:type="spellStart"/>
      <w:r w:rsidRPr="00925158">
        <w:rPr>
          <w:rFonts w:asciiTheme="minorHAnsi" w:hAnsiTheme="minorHAnsi" w:cs="Times New Roman"/>
          <w:i/>
          <w:iCs/>
        </w:rPr>
        <w:t>Srl</w:t>
      </w:r>
      <w:proofErr w:type="spellEnd"/>
      <w:r w:rsidRPr="00925158">
        <w:rPr>
          <w:rFonts w:asciiTheme="minorHAnsi" w:hAnsiTheme="minorHAnsi" w:cs="Times New Roman"/>
          <w:i/>
          <w:iCs/>
        </w:rPr>
        <w:t xml:space="preserve"> mediante l’ingresso di nuovi Soci, si procederà tra i medesimi CSI di Rieti e di Frosinone quali soci fondatori della Società alla </w:t>
      </w:r>
      <w:r w:rsidRPr="00925158">
        <w:rPr>
          <w:rFonts w:asciiTheme="minorHAnsi" w:hAnsiTheme="minorHAnsi" w:cs="Times New Roman"/>
          <w:b/>
          <w:bCs/>
          <w:i/>
          <w:iCs/>
        </w:rPr>
        <w:t>stipula di «un patto di sindacato», finalizzato ad assicurare ai Soci fondatori medesimi il permanere delle condizioni di controllo della Società</w:t>
      </w:r>
      <w:r w:rsidRPr="00925158">
        <w:rPr>
          <w:rFonts w:asciiTheme="minorHAnsi" w:hAnsiTheme="minorHAnsi" w:cs="Times New Roman"/>
        </w:rPr>
        <w:t xml:space="preserve">”(enfasi aggiunta).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Dall’analisi della documentazione complessivamente disponibile sembrano sussistere fondati dubbi anche in ordine al soddisfacimento del requisito della c.d. attività prevalente da parte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Inoltre, lo Statuto della Società non prevede espressamente che l’80% delle sue attività debba essere svolto in favore delle sole controllanti, come espressamente prescritto dall’art. 16, comma 3, del T.U. sulle partecipate.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Il requisito della cd. attività prevalente sembra difettare in capo ad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perché, come emerge dalla sua documentazione contabile, essa - almeno fino alla prima metà del 2014 -risulta avere svolto due tipi di attività: quella di gestione di servizi pubblici locali (acquedotto, fognatura e depurazione)11 e quella di gestione in conto terzi del trattamento industriale dei reflui non condottati, definita anche come “attività industriale”12, differenziata da quella del primo tipo, definita attività di gestione di servizi pubblici locali. Sempre dalla documentazione contabile emergerebbe che quest’ultima attività abbia sempre rappresentato, almeno dal 2011 al 2014, circa il 50% dei ricavi societari.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11 Al riguardo, dal bilancio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chiuso al 31 dicembre 2014 emerge che la stessa gestisce servizio pubblico di depurazione e gestione delle reti fognarie dei Comuni di Fara in Sabina (</w:t>
      </w:r>
      <w:proofErr w:type="spellStart"/>
      <w:r w:rsidRPr="00925158">
        <w:rPr>
          <w:rFonts w:asciiTheme="minorHAnsi" w:hAnsiTheme="minorHAnsi" w:cs="Times New Roman"/>
        </w:rPr>
        <w:t>Ri</w:t>
      </w:r>
      <w:proofErr w:type="spellEnd"/>
      <w:r w:rsidRPr="00925158">
        <w:rPr>
          <w:rFonts w:asciiTheme="minorHAnsi" w:hAnsiTheme="minorHAnsi" w:cs="Times New Roman"/>
        </w:rPr>
        <w:t>) e di Montelibretti (</w:t>
      </w:r>
      <w:proofErr w:type="spellStart"/>
      <w:r w:rsidRPr="00925158">
        <w:rPr>
          <w:rFonts w:asciiTheme="minorHAnsi" w:hAnsiTheme="minorHAnsi" w:cs="Times New Roman"/>
        </w:rPr>
        <w:t>Rm</w:t>
      </w:r>
      <w:proofErr w:type="spellEnd"/>
      <w:r w:rsidRPr="00925158">
        <w:rPr>
          <w:rFonts w:asciiTheme="minorHAnsi" w:hAnsiTheme="minorHAnsi" w:cs="Times New Roman"/>
        </w:rPr>
        <w:t xml:space="preserv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12 Al riguardo, si osserva che l’art. 2 della Proposta tecnico-economica formulata da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a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e da questo accettata con la Delibera in esame, prevede anche la conclusione tra le Parti di altro specifico contratto in forza del quale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traferisce ad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a fronte del pagamento di una </w:t>
      </w:r>
      <w:r w:rsidRPr="00925158">
        <w:rPr>
          <w:rFonts w:asciiTheme="minorHAnsi" w:hAnsiTheme="minorHAnsi" w:cs="Times New Roman"/>
          <w:i/>
          <w:iCs/>
        </w:rPr>
        <w:t>free</w:t>
      </w:r>
      <w:r w:rsidRPr="00925158">
        <w:rPr>
          <w:rFonts w:asciiTheme="minorHAnsi" w:hAnsiTheme="minorHAnsi" w:cs="Times New Roman"/>
        </w:rPr>
        <w:t>, anche tutte le proprie attività afferenti all’attività industriale di trattamento conto terzi dei reflui non condottati (</w:t>
      </w:r>
      <w:r w:rsidRPr="00925158">
        <w:rPr>
          <w:rFonts w:asciiTheme="minorHAnsi" w:hAnsiTheme="minorHAnsi" w:cs="Times New Roman"/>
          <w:i/>
          <w:iCs/>
        </w:rPr>
        <w:t xml:space="preserve">i.e. </w:t>
      </w:r>
      <w:r w:rsidRPr="00925158">
        <w:rPr>
          <w:rFonts w:asciiTheme="minorHAnsi" w:hAnsiTheme="minorHAnsi" w:cs="Times New Roman"/>
        </w:rPr>
        <w:t xml:space="preserve">addotti all’impianto attraverso autobotti e cisterne che sono poi trattati per poter essere convogliati nell’impianto di depurazione).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13 L’oggetto sociale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è, peraltro, molto ampio rientrandovi: “</w:t>
      </w:r>
      <w:r w:rsidRPr="00925158">
        <w:rPr>
          <w:rFonts w:asciiTheme="minorHAnsi" w:hAnsiTheme="minorHAnsi" w:cs="Times New Roman"/>
          <w:i/>
          <w:iCs/>
        </w:rPr>
        <w:t xml:space="preserve">la raccolta, lo stoccaggio il trasporto il trattamento e lo smaltimento di rifiuti urbani e industriali, liquidi e solidi e la bonifica di terreni inquinanti, nonché servizi di igiene urbana; la progettazione, la realizzazione e la gestione di impianti nel settore dell’aria, dell’inquinamento atmosferico, del rumore, nel settore </w:t>
      </w:r>
      <w:r w:rsidRPr="00925158">
        <w:rPr>
          <w:rFonts w:asciiTheme="minorHAnsi" w:hAnsiTheme="minorHAnsi" w:cs="Times New Roman"/>
        </w:rPr>
        <w:t>energetico […]</w:t>
      </w:r>
      <w:r w:rsidRPr="00925158">
        <w:rPr>
          <w:rFonts w:asciiTheme="minorHAnsi" w:hAnsiTheme="minorHAnsi" w:cs="Times New Roman"/>
          <w:i/>
          <w:iCs/>
        </w:rPr>
        <w:t xml:space="preserve">; i servizi di mobilità e la gestione dei parcheggi; la gestione degli impianti e delle reti elettriche, del gas e di trasmissioni dati, sia pubbliche che private </w:t>
      </w:r>
      <w:r w:rsidRPr="00925158">
        <w:rPr>
          <w:rFonts w:asciiTheme="minorHAnsi" w:hAnsiTheme="minorHAnsi" w:cs="Times New Roman"/>
        </w:rPr>
        <w:t>[…]</w:t>
      </w:r>
      <w:r w:rsidRPr="00925158">
        <w:rPr>
          <w:rFonts w:asciiTheme="minorHAnsi" w:hAnsiTheme="minorHAnsi" w:cs="Times New Roman"/>
          <w:i/>
          <w:iCs/>
        </w:rPr>
        <w:t>; la gestione e manutenzione delle strade, ivi compreso lo spazzamento e del verde pubblico compreso il taglio di siepi e alberi</w:t>
      </w:r>
      <w:r w:rsidRPr="00925158">
        <w:rPr>
          <w:rFonts w:asciiTheme="minorHAnsi" w:hAnsiTheme="minorHAnsi" w:cs="Times New Roman"/>
        </w:rPr>
        <w:t xml:space="preserv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Si osserva altresì che la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non ha, come le impone l’art. 4, comma 4, del T.U. sulle partecipate, quale oggetto esclusivo nessuna delle attività di cui al comma 2 della stessa disposizione13.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Infine, si rileva che anche le motivazioni addotte da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per giustificare, ai sensi dell’art. 5, T.U sulle partecipate, l’affidamento diretto in favore di </w:t>
      </w:r>
      <w:proofErr w:type="spellStart"/>
      <w:r w:rsidRPr="00925158">
        <w:rPr>
          <w:rFonts w:asciiTheme="minorHAnsi" w:hAnsiTheme="minorHAnsi" w:cs="Times New Roman"/>
        </w:rPr>
        <w:t>AeA</w:t>
      </w:r>
      <w:proofErr w:type="spellEnd"/>
      <w:r w:rsidRPr="00925158">
        <w:rPr>
          <w:rFonts w:asciiTheme="minorHAnsi" w:hAnsiTheme="minorHAnsi" w:cs="Times New Roman"/>
        </w:rPr>
        <w:t xml:space="preserve"> S.r.l. non sono particolarmente convincenti, dal momento che il parametro economico di riferimento sembra essere stato solo quello delle precedenti gestioni avvenute, per un impianto, direttamente da parte di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e, per l’altro, da parte di un soggetto terzo: è assente, quindi, un parametro che rifletta la possibile comparazione tra le offerte di vari operatori attivi nel mercato. Del pari, la motivazione relativa al mantenimento degli occupati non sembra del tutto convincente, considerata la possibilità di inserire nei bandi di gara la cd. clausola sociale. </w:t>
      </w:r>
    </w:p>
    <w:p w:rsidR="00925158" w:rsidRDefault="00925158" w:rsidP="00925158">
      <w:pPr>
        <w:pStyle w:val="Default"/>
        <w:rPr>
          <w:rFonts w:asciiTheme="minorHAnsi" w:hAnsiTheme="minorHAnsi" w:cs="Times New Roman"/>
        </w:rPr>
      </w:pPr>
      <w:r w:rsidRPr="00925158">
        <w:rPr>
          <w:rFonts w:asciiTheme="minorHAnsi" w:hAnsiTheme="minorHAnsi" w:cs="Times New Roman"/>
        </w:rPr>
        <w:t xml:space="preserve">Del pari, anche la durata di quindici anni dell’affidamento appare ingiustificata, in particolare nella prospettiva dell’obbligo per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di trasferire i propri impianti di depurazione in concessione d’uso al gestore del Servizio Idrico Integrato dell’Ambito Territoriale Ottimale (ATO) competente, come previsto dall’art. 172, ultimo comma, del D.lgs. n. 152/2006 (cd. Codice dell’Ambiente). </w:t>
      </w:r>
    </w:p>
    <w:p w:rsidR="00925158" w:rsidRDefault="00925158" w:rsidP="00925158">
      <w:pPr>
        <w:pStyle w:val="Default"/>
        <w:rPr>
          <w:rFonts w:asciiTheme="minorHAnsi" w:hAnsiTheme="minorHAnsi" w:cs="Times New Roman"/>
        </w:rPr>
      </w:pP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BOLLETTINO N. 23 DEL 19 GIUGNO 2017 </w:t>
      </w:r>
    </w:p>
    <w:p w:rsidR="00925158" w:rsidRPr="00925158" w:rsidRDefault="00925158" w:rsidP="00925158">
      <w:pPr>
        <w:pStyle w:val="Default"/>
        <w:pageBreakBefore/>
        <w:rPr>
          <w:rFonts w:asciiTheme="minorHAnsi" w:hAnsiTheme="minorHAnsi" w:cs="Times New Roman"/>
        </w:rPr>
      </w:pPr>
      <w:r w:rsidRPr="00925158">
        <w:rPr>
          <w:rFonts w:asciiTheme="minorHAnsi" w:hAnsiTheme="minorHAnsi" w:cs="Times New Roman"/>
        </w:rPr>
        <w:lastRenderedPageBreak/>
        <w:t xml:space="preserve">31 </w:t>
      </w:r>
    </w:p>
    <w:p w:rsidR="006014D1" w:rsidRDefault="006014D1" w:rsidP="00925158">
      <w:pPr>
        <w:pStyle w:val="Default"/>
        <w:rPr>
          <w:rFonts w:asciiTheme="minorHAnsi" w:hAnsiTheme="minorHAnsi" w:cs="Times New Roman"/>
        </w:rPr>
      </w:pP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L’insieme delle osservazioni svolte non solo evidenzia un profondo contrasto tra il contenuto della Delibera in esame e le regole che, ai sensi del T.U. sulle partecipate, consentono alle amministrazioni pubbliche di acquisire partecipazioni societarie, ma anche e, più in generale, con i principi a tutela del concorrenzialità del mercato che ispirano tale disciplina14 e alla cui difesa si pongono anche le norme in materia di contratti pubblici di cui al D.lgs. n. 50/2016 (cd. Codice degli appalti) e, in particolare, l’art. 5 in materia di affidamenti </w:t>
      </w:r>
      <w:r w:rsidRPr="00925158">
        <w:rPr>
          <w:rFonts w:asciiTheme="minorHAnsi" w:hAnsiTheme="minorHAnsi" w:cs="Times New Roman"/>
          <w:i/>
          <w:iCs/>
        </w:rPr>
        <w:t xml:space="preserve">in house </w:t>
      </w:r>
      <w:proofErr w:type="spellStart"/>
      <w:r w:rsidRPr="00925158">
        <w:rPr>
          <w:rFonts w:asciiTheme="minorHAnsi" w:hAnsiTheme="minorHAnsi" w:cs="Times New Roman"/>
          <w:i/>
          <w:iCs/>
        </w:rPr>
        <w:t>providing</w:t>
      </w:r>
      <w:proofErr w:type="spellEnd"/>
      <w:r w:rsidRPr="00925158">
        <w:rPr>
          <w:rFonts w:asciiTheme="minorHAnsi" w:hAnsiTheme="minorHAnsi" w:cs="Times New Roman"/>
        </w:rPr>
        <w:t xml:space="preserve">.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14 Cfr., in particolare, l’art.1, comma 2, T.U. sulle partecipate: “</w:t>
      </w:r>
      <w:r w:rsidRPr="00925158">
        <w:rPr>
          <w:rFonts w:asciiTheme="minorHAnsi" w:hAnsiTheme="minorHAnsi" w:cs="Times New Roman"/>
          <w:i/>
          <w:iCs/>
        </w:rPr>
        <w:t xml:space="preserve">Le disposizioni contenute del presente decreto sono applicate avendo riguardo all’efficiente gestione delle partecipazioni pubbliche, alla tutela e promozione della concorrenza e del mercato </w:t>
      </w:r>
      <w:r w:rsidRPr="00925158">
        <w:rPr>
          <w:rFonts w:asciiTheme="minorHAnsi" w:hAnsiTheme="minorHAnsi" w:cs="Times New Roman"/>
        </w:rPr>
        <w:t xml:space="preserve">[…]” (enfasi aggiunta).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 xml:space="preserve">L’Autorità, in conclusione, ritiene che la delibera del Consiglio di Amministrazione del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n. 3/2017, con cui il </w:t>
      </w:r>
      <w:proofErr w:type="spellStart"/>
      <w:r w:rsidRPr="00925158">
        <w:rPr>
          <w:rFonts w:asciiTheme="minorHAnsi" w:hAnsiTheme="minorHAnsi" w:cs="Times New Roman"/>
        </w:rPr>
        <w:t>CdA</w:t>
      </w:r>
      <w:proofErr w:type="spellEnd"/>
      <w:r w:rsidRPr="00925158">
        <w:rPr>
          <w:rFonts w:asciiTheme="minorHAnsi" w:hAnsiTheme="minorHAnsi" w:cs="Times New Roman"/>
        </w:rPr>
        <w:t xml:space="preserve"> del Consorzio ha deciso l’acquisizione da parte del </w:t>
      </w:r>
      <w:proofErr w:type="spellStart"/>
      <w:r w:rsidRPr="00925158">
        <w:rPr>
          <w:rFonts w:asciiTheme="minorHAnsi" w:hAnsiTheme="minorHAnsi" w:cs="Times New Roman"/>
        </w:rPr>
        <w:t>Co.Si.Lam</w:t>
      </w:r>
      <w:proofErr w:type="spellEnd"/>
      <w:r w:rsidRPr="00925158">
        <w:rPr>
          <w:rFonts w:asciiTheme="minorHAnsi" w:hAnsiTheme="minorHAnsi" w:cs="Times New Roman"/>
        </w:rPr>
        <w:t xml:space="preserve">. di una partecipazione azionaria del 15% di AEA S.r.l. e il contestuale affidamento diretto in favore della stessa Società del servizio di gestione e manutenzione ordinaria e straordinaria dei propri impianti di depurazione delle acque reflue industriali, si ponga in contrasto con le disposizioni del D.lgs. n. 175/2016 che consentono a un’amministrazione pubblica di acquistare una partecipazione azionaria in una società (art. 4), con quelle dello stesso D.lgs. che consentono affidamenti diretti </w:t>
      </w:r>
      <w:r w:rsidRPr="00925158">
        <w:rPr>
          <w:rFonts w:asciiTheme="minorHAnsi" w:hAnsiTheme="minorHAnsi" w:cs="Times New Roman"/>
          <w:i/>
          <w:iCs/>
        </w:rPr>
        <w:t xml:space="preserve">in house </w:t>
      </w:r>
      <w:r w:rsidRPr="00925158">
        <w:rPr>
          <w:rFonts w:asciiTheme="minorHAnsi" w:hAnsiTheme="minorHAnsi" w:cs="Times New Roman"/>
        </w:rPr>
        <w:t xml:space="preserve">(art. 16) e delle analoghe disposizioni del D.lgs. n. 50/2016 (cd. Codice degli appalti, art. 5), nonché con l’onere di motivazione analitica imposto dall’art. 5 del D.lgs. n. 175/2016. </w:t>
      </w:r>
    </w:p>
    <w:p w:rsidR="00925158" w:rsidRPr="00925158" w:rsidRDefault="00925158" w:rsidP="00925158">
      <w:pPr>
        <w:pStyle w:val="Default"/>
        <w:rPr>
          <w:rFonts w:asciiTheme="minorHAnsi" w:hAnsiTheme="minorHAnsi" w:cs="Times New Roman"/>
        </w:rPr>
      </w:pPr>
      <w:r w:rsidRPr="00925158">
        <w:rPr>
          <w:rFonts w:asciiTheme="minorHAnsi" w:hAnsiTheme="minorHAnsi" w:cs="Times New Roman"/>
        </w:rPr>
        <w:t>Ai sensi dell’articolo 21-</w:t>
      </w:r>
      <w:r w:rsidRPr="00925158">
        <w:rPr>
          <w:rFonts w:asciiTheme="minorHAnsi" w:hAnsiTheme="minorHAnsi" w:cs="Times New Roman"/>
          <w:i/>
          <w:iCs/>
        </w:rPr>
        <w:t>bis</w:t>
      </w:r>
      <w:r w:rsidRPr="00925158">
        <w:rPr>
          <w:rFonts w:asciiTheme="minorHAnsi" w:hAnsiTheme="minorHAnsi" w:cs="Times New Roman"/>
        </w:rPr>
        <w:t xml:space="preserve">, comma 2, della legge n. 287/1990, codesto Consorzio dovrà comunicare all’Autorità, entro il termine di sessanta giorni dalla ricezione del presente parere, le iniziative adottate per rimuovere le violazioni della concorrenza sopra esposte. Laddove entro il suddetto termine tali iniziative non dovessero risultare conformi ai principi concorrenziali sopra espressi, l’Autorità potrà presentare ricorso entro i successivi trenta giorni. </w:t>
      </w:r>
    </w:p>
    <w:tbl>
      <w:tblPr>
        <w:tblW w:w="0" w:type="auto"/>
        <w:tblBorders>
          <w:top w:val="nil"/>
          <w:left w:val="nil"/>
          <w:bottom w:val="nil"/>
          <w:right w:val="nil"/>
        </w:tblBorders>
        <w:tblLayout w:type="fixed"/>
        <w:tblLook w:val="0000" w:firstRow="0" w:lastRow="0" w:firstColumn="0" w:lastColumn="0" w:noHBand="0" w:noVBand="0"/>
      </w:tblPr>
      <w:tblGrid>
        <w:gridCol w:w="1659"/>
      </w:tblGrid>
      <w:tr w:rsidR="00925158" w:rsidRPr="00925158">
        <w:tblPrEx>
          <w:tblCellMar>
            <w:top w:w="0" w:type="dxa"/>
            <w:bottom w:w="0" w:type="dxa"/>
          </w:tblCellMar>
        </w:tblPrEx>
        <w:trPr>
          <w:trHeight w:val="268"/>
        </w:trPr>
        <w:tc>
          <w:tcPr>
            <w:tcW w:w="1659" w:type="dxa"/>
          </w:tcPr>
          <w:p w:rsidR="006014D1" w:rsidRDefault="006014D1">
            <w:pPr>
              <w:pStyle w:val="Default"/>
              <w:rPr>
                <w:rFonts w:asciiTheme="minorHAnsi" w:hAnsiTheme="minorHAnsi" w:cs="Times New Roman"/>
              </w:rPr>
            </w:pPr>
          </w:p>
          <w:p w:rsidR="00925158" w:rsidRPr="00925158" w:rsidRDefault="006014D1">
            <w:pPr>
              <w:pStyle w:val="Default"/>
              <w:rPr>
                <w:rFonts w:asciiTheme="minorHAnsi" w:hAnsiTheme="minorHAnsi" w:cs="Times New Roman"/>
              </w:rPr>
            </w:pPr>
            <w:r>
              <w:rPr>
                <w:rFonts w:asciiTheme="minorHAnsi" w:hAnsiTheme="minorHAnsi" w:cs="Times New Roman"/>
              </w:rPr>
              <w:t xml:space="preserve">Il presente </w:t>
            </w:r>
            <w:r w:rsidR="00925158" w:rsidRPr="00925158">
              <w:rPr>
                <w:rFonts w:asciiTheme="minorHAnsi" w:hAnsiTheme="minorHAnsi" w:cs="Times New Roman"/>
              </w:rPr>
              <w:t xml:space="preserve">parere sarà pubblicato sul Bollettino dell’Autorità ai sensi dell’articolo 26 della legge n. 287/90. IL PRESIDENTE </w:t>
            </w:r>
          </w:p>
          <w:p w:rsidR="00925158" w:rsidRPr="00925158" w:rsidRDefault="00925158">
            <w:pPr>
              <w:pStyle w:val="Default"/>
              <w:rPr>
                <w:rFonts w:asciiTheme="minorHAnsi" w:hAnsiTheme="minorHAnsi" w:cs="Times New Roman"/>
              </w:rPr>
            </w:pPr>
            <w:r w:rsidRPr="00925158">
              <w:rPr>
                <w:rFonts w:asciiTheme="minorHAnsi" w:hAnsiTheme="minorHAnsi" w:cs="Times New Roman"/>
                <w:i/>
                <w:iCs/>
              </w:rPr>
              <w:t xml:space="preserve">Giovanni Pitruzzella </w:t>
            </w:r>
          </w:p>
        </w:tc>
      </w:tr>
    </w:tbl>
    <w:p w:rsidR="00026F19" w:rsidRPr="00925158" w:rsidRDefault="00026F19">
      <w:pPr>
        <w:rPr>
          <w:sz w:val="24"/>
          <w:szCs w:val="24"/>
        </w:rPr>
      </w:pPr>
    </w:p>
    <w:sectPr w:rsidR="00026F19" w:rsidRPr="00925158" w:rsidSect="009251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158"/>
    <w:rsid w:val="00026F19"/>
    <w:rsid w:val="006014D1"/>
    <w:rsid w:val="009251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25158"/>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25158"/>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2881</Words>
  <Characters>16424</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1</cp:revision>
  <dcterms:created xsi:type="dcterms:W3CDTF">2017-06-20T09:06:00Z</dcterms:created>
  <dcterms:modified xsi:type="dcterms:W3CDTF">2017-06-20T09:16:00Z</dcterms:modified>
</cp:coreProperties>
</file>