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688" w:rsidRPr="00AD7688" w:rsidRDefault="00AD7688" w:rsidP="00AD7688">
      <w:pPr>
        <w:pStyle w:val="Default"/>
        <w:rPr>
          <w:rFonts w:asciiTheme="minorHAnsi" w:hAnsiTheme="minorHAnsi"/>
        </w:rPr>
      </w:pPr>
      <w:r w:rsidRPr="00AD7688">
        <w:rPr>
          <w:rFonts w:asciiTheme="minorHAnsi" w:hAnsiTheme="minorHAnsi"/>
        </w:rPr>
        <w:t xml:space="preserve">BOLLETTINO N. 23 DEL 19 GIUGNO 2017 33 </w:t>
      </w:r>
    </w:p>
    <w:p w:rsidR="00AD7688" w:rsidRDefault="00AD7688" w:rsidP="00AD7688">
      <w:pPr>
        <w:pStyle w:val="Default"/>
        <w:rPr>
          <w:rFonts w:asciiTheme="minorHAnsi" w:hAnsiTheme="minorHAnsi" w:cs="Times New Roman"/>
          <w:b/>
          <w:bCs/>
        </w:rPr>
      </w:pP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b/>
          <w:bCs/>
        </w:rPr>
        <w:t xml:space="preserve">AS1389 – COMUNE DI CAORLE (VE)-ASVO S.P.A.-ACQUISTO CAPITALE SOCIALE MTF S.R.L. </w:t>
      </w:r>
    </w:p>
    <w:p w:rsidR="00AD7688" w:rsidRDefault="00AD7688" w:rsidP="00AD7688">
      <w:pPr>
        <w:pStyle w:val="Default"/>
        <w:rPr>
          <w:rFonts w:asciiTheme="minorHAnsi" w:hAnsiTheme="minorHAnsi" w:cs="Times New Roman"/>
        </w:rPr>
      </w:pP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 xml:space="preserve">Roma, 6 aprile 2017 </w:t>
      </w:r>
    </w:p>
    <w:p w:rsidR="00AD7688" w:rsidRDefault="00AD7688" w:rsidP="00AD7688">
      <w:pPr>
        <w:pStyle w:val="Default"/>
        <w:rPr>
          <w:rFonts w:asciiTheme="minorHAnsi" w:hAnsiTheme="minorHAnsi" w:cs="Times New Roman"/>
        </w:rPr>
      </w:pP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 xml:space="preserve">Comune della Città di Caorle (Ve) </w:t>
      </w: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L’Autorità Garante della Concorrenza e del Mercato, nella propria riunione del 5 aprile 2017, ha deliberato di esprimere il proprio parere, ai sensi dell’articolo 21-</w:t>
      </w:r>
      <w:r w:rsidRPr="00AD7688">
        <w:rPr>
          <w:rFonts w:asciiTheme="minorHAnsi" w:hAnsiTheme="minorHAnsi" w:cs="Times New Roman"/>
          <w:i/>
          <w:iCs/>
        </w:rPr>
        <w:t xml:space="preserve">bis </w:t>
      </w:r>
      <w:r w:rsidRPr="00AD7688">
        <w:rPr>
          <w:rFonts w:asciiTheme="minorHAnsi" w:hAnsiTheme="minorHAnsi" w:cs="Times New Roman"/>
        </w:rPr>
        <w:t>della legge 10 ottobre 1990, n. 287, così come richiamato dall’articolo 5, comma 3, del decreto legislativo 19 agosto 2016, n. 175 (“</w:t>
      </w:r>
      <w:r w:rsidRPr="00AD7688">
        <w:rPr>
          <w:rFonts w:asciiTheme="minorHAnsi" w:hAnsiTheme="minorHAnsi" w:cs="Times New Roman"/>
          <w:i/>
          <w:iCs/>
        </w:rPr>
        <w:t>Testo unico in materia di società a partecipazione pubblica</w:t>
      </w:r>
      <w:r w:rsidRPr="00AD7688">
        <w:rPr>
          <w:rFonts w:asciiTheme="minorHAnsi" w:hAnsiTheme="minorHAnsi" w:cs="Times New Roman"/>
        </w:rPr>
        <w:t>, di seguito anche T.U. sulle partecipate), relativamente al contenuto della Deliberazione n. 7, avente a oggetto “</w:t>
      </w:r>
      <w:r w:rsidRPr="00AD7688">
        <w:rPr>
          <w:rFonts w:asciiTheme="minorHAnsi" w:hAnsiTheme="minorHAnsi" w:cs="Times New Roman"/>
          <w:i/>
          <w:iCs/>
        </w:rPr>
        <w:t xml:space="preserve">Autorizzazione ad ASVO Ambiente Servizi Venezia orientale </w:t>
      </w:r>
      <w:proofErr w:type="spellStart"/>
      <w:r w:rsidRPr="00AD7688">
        <w:rPr>
          <w:rFonts w:asciiTheme="minorHAnsi" w:hAnsiTheme="minorHAnsi" w:cs="Times New Roman"/>
          <w:i/>
          <w:iCs/>
        </w:rPr>
        <w:t>S.p.A</w:t>
      </w:r>
      <w:proofErr w:type="spellEnd"/>
      <w:r w:rsidRPr="00AD7688">
        <w:rPr>
          <w:rFonts w:asciiTheme="minorHAnsi" w:hAnsiTheme="minorHAnsi" w:cs="Times New Roman"/>
          <w:i/>
          <w:iCs/>
        </w:rPr>
        <w:t>: alla presentazione di offerta per l’acquisto del 99 per cento del capitale sociale della società MTF S.r.l. di Tolmezzo (UD</w:t>
      </w:r>
      <w:r w:rsidRPr="00AD7688">
        <w:rPr>
          <w:rFonts w:asciiTheme="minorHAnsi" w:hAnsiTheme="minorHAnsi" w:cs="Times New Roman"/>
        </w:rPr>
        <w:t xml:space="preserve">)”, assunta dal Consiglio Comunale della Città di Caorle il 26 gennaio 2017, pubblicata sull’albo pretorio della Città di Caorle dall’8 febbraio 2017 al 22 febbraio 2017 e inviata all’Autorità il successivo 10 febbraio, in esecuzione di quanto previsto dal richiamato articolo 5, comma 3, del T.U. sulle partecipate. </w:t>
      </w: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 xml:space="preserve">Il Consiglio Comunale della Città di Caorle, con la Deliberazione n. 7/2017, ha deciso di autorizzare la società partecipata ASVO S.p.A. a presentare un’offerta per l’acquisto del 99% della società MTF S.r.l., attualmente detenuto dalla società EXE S.p.A. (società a partecipazione interamente pubblica) e che gestisce, secondo il modello </w:t>
      </w:r>
      <w:proofErr w:type="spellStart"/>
      <w:r w:rsidRPr="00AD7688">
        <w:rPr>
          <w:rFonts w:asciiTheme="minorHAnsi" w:hAnsiTheme="minorHAnsi" w:cs="Times New Roman"/>
        </w:rPr>
        <w:t>dell’in</w:t>
      </w:r>
      <w:proofErr w:type="spellEnd"/>
      <w:r w:rsidRPr="00AD7688">
        <w:rPr>
          <w:rFonts w:asciiTheme="minorHAnsi" w:hAnsiTheme="minorHAnsi" w:cs="Times New Roman"/>
        </w:rPr>
        <w:t xml:space="preserve"> </w:t>
      </w:r>
      <w:r w:rsidRPr="00AD7688">
        <w:rPr>
          <w:rFonts w:asciiTheme="minorHAnsi" w:hAnsiTheme="minorHAnsi" w:cs="Times New Roman"/>
          <w:i/>
          <w:iCs/>
        </w:rPr>
        <w:t xml:space="preserve">house </w:t>
      </w:r>
      <w:proofErr w:type="spellStart"/>
      <w:r w:rsidRPr="00AD7688">
        <w:rPr>
          <w:rFonts w:asciiTheme="minorHAnsi" w:hAnsiTheme="minorHAnsi" w:cs="Times New Roman"/>
          <w:i/>
          <w:iCs/>
        </w:rPr>
        <w:t>providing</w:t>
      </w:r>
      <w:proofErr w:type="spellEnd"/>
      <w:r w:rsidRPr="00AD7688">
        <w:rPr>
          <w:rFonts w:asciiTheme="minorHAnsi" w:hAnsiTheme="minorHAnsi" w:cs="Times New Roman"/>
        </w:rPr>
        <w:t xml:space="preserve">, il servizio di igiene urbana nel Comune di Lignano Sabbiadoro che detiene il restante 1% del suo capitale sociale. </w:t>
      </w: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 xml:space="preserve">ASVO S.p.A. è, invece, l’attuale gestore </w:t>
      </w:r>
      <w:r w:rsidRPr="00AD7688">
        <w:rPr>
          <w:rFonts w:asciiTheme="minorHAnsi" w:hAnsiTheme="minorHAnsi" w:cs="Times New Roman"/>
          <w:i/>
          <w:iCs/>
        </w:rPr>
        <w:t xml:space="preserve">in house </w:t>
      </w:r>
      <w:proofErr w:type="spellStart"/>
      <w:r w:rsidRPr="00AD7688">
        <w:rPr>
          <w:rFonts w:asciiTheme="minorHAnsi" w:hAnsiTheme="minorHAnsi" w:cs="Times New Roman"/>
          <w:i/>
          <w:iCs/>
        </w:rPr>
        <w:t>providing</w:t>
      </w:r>
      <w:proofErr w:type="spellEnd"/>
      <w:r w:rsidRPr="00AD7688">
        <w:rPr>
          <w:rFonts w:asciiTheme="minorHAnsi" w:hAnsiTheme="minorHAnsi" w:cs="Times New Roman"/>
          <w:i/>
          <w:iCs/>
        </w:rPr>
        <w:t xml:space="preserve"> </w:t>
      </w:r>
      <w:r w:rsidRPr="00AD7688">
        <w:rPr>
          <w:rFonts w:asciiTheme="minorHAnsi" w:hAnsiTheme="minorHAnsi" w:cs="Times New Roman"/>
        </w:rPr>
        <w:t xml:space="preserve">del servizi di igiene urbana nei comuni del mandamento di Portogruaro (in cui rientra la Città di Caorle) ed è una società a capitale interamente pubblico, in quanto partecipata per il 45,33% dagli undici comuni del mandamento di Portogruaro (Ve) e per il restante 54,67% dalla società Veneziana Energia Risorse Idriche Territori e Ambiente - V.E.R.I.T.A.S. S.p.A., a sua volta partecipata da ventinove comuni della provincia di Venezia (tra cui lo stesso Comune di Caorle). </w:t>
      </w: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 xml:space="preserve">La Deliberazione n. 7/2017 non prevede modifiche dell’oggetto sociale e della </w:t>
      </w:r>
      <w:r w:rsidRPr="00AD7688">
        <w:rPr>
          <w:rFonts w:asciiTheme="minorHAnsi" w:hAnsiTheme="minorHAnsi" w:cs="Times New Roman"/>
          <w:i/>
          <w:iCs/>
        </w:rPr>
        <w:t xml:space="preserve">governance </w:t>
      </w:r>
      <w:r w:rsidRPr="00AD7688">
        <w:rPr>
          <w:rFonts w:asciiTheme="minorHAnsi" w:hAnsiTheme="minorHAnsi" w:cs="Times New Roman"/>
        </w:rPr>
        <w:t xml:space="preserve">di MTF S.r.l in caso di acquisto del 99% del suo capitale sociale da parte di ASVO S.p.A.. MTF S.r.l. pertanto, continuerebbe a svolgere unicamente e secondo le modalità </w:t>
      </w:r>
      <w:proofErr w:type="spellStart"/>
      <w:r w:rsidRPr="00AD7688">
        <w:rPr>
          <w:rFonts w:asciiTheme="minorHAnsi" w:hAnsiTheme="minorHAnsi" w:cs="Times New Roman"/>
        </w:rPr>
        <w:t>dell’in</w:t>
      </w:r>
      <w:proofErr w:type="spellEnd"/>
      <w:r w:rsidRPr="00AD7688">
        <w:rPr>
          <w:rFonts w:asciiTheme="minorHAnsi" w:hAnsiTheme="minorHAnsi" w:cs="Times New Roman"/>
        </w:rPr>
        <w:t xml:space="preserve"> </w:t>
      </w:r>
      <w:r w:rsidRPr="00AD7688">
        <w:rPr>
          <w:rFonts w:asciiTheme="minorHAnsi" w:hAnsiTheme="minorHAnsi" w:cs="Times New Roman"/>
          <w:i/>
          <w:iCs/>
        </w:rPr>
        <w:t xml:space="preserve">house </w:t>
      </w:r>
      <w:proofErr w:type="spellStart"/>
      <w:r w:rsidRPr="00AD7688">
        <w:rPr>
          <w:rFonts w:asciiTheme="minorHAnsi" w:hAnsiTheme="minorHAnsi" w:cs="Times New Roman"/>
          <w:i/>
          <w:iCs/>
        </w:rPr>
        <w:t>providing</w:t>
      </w:r>
      <w:proofErr w:type="spellEnd"/>
      <w:r w:rsidRPr="00AD7688">
        <w:rPr>
          <w:rFonts w:asciiTheme="minorHAnsi" w:hAnsiTheme="minorHAnsi" w:cs="Times New Roman"/>
        </w:rPr>
        <w:t xml:space="preserve">, il servizio di igiene urbana in favore del Comune di Lignano Sabbiadoro che, a sua volta e nonostante la sua partecipazione meritoria dell’1% nel capitale sociale di MTF S.r.l., continuerebbe a esercitare sulla stessa il controllo analogo esclusivo, in forza dei diritti di veto riconosciutigli dalle previsioni statutarie sulle principali decisione strategiche della società. </w:t>
      </w:r>
    </w:p>
    <w:p w:rsidR="00AD7688" w:rsidRDefault="00AD7688" w:rsidP="00AD7688">
      <w:pPr>
        <w:pStyle w:val="Default"/>
        <w:rPr>
          <w:rFonts w:asciiTheme="minorHAnsi" w:hAnsiTheme="minorHAnsi" w:cs="Times New Roman"/>
        </w:rPr>
      </w:pPr>
      <w:r w:rsidRPr="00AD7688">
        <w:rPr>
          <w:rFonts w:asciiTheme="minorHAnsi" w:hAnsiTheme="minorHAnsi" w:cs="Times New Roman"/>
        </w:rPr>
        <w:t xml:space="preserve">Sebbene, quindi, l’eventuale passaggio del 99% del capitale sociale di MTF S.r.l. da EXE S.p.A. ad ASVO S.p.A. non sembra idoneo a compromettere la permanenza in capo a MTF S.r.l. delle condizioni proprie di una società </w:t>
      </w:r>
      <w:r w:rsidRPr="00AD7688">
        <w:rPr>
          <w:rFonts w:asciiTheme="minorHAnsi" w:hAnsiTheme="minorHAnsi" w:cs="Times New Roman"/>
          <w:i/>
          <w:iCs/>
        </w:rPr>
        <w:t xml:space="preserve">in house </w:t>
      </w:r>
      <w:proofErr w:type="spellStart"/>
      <w:r w:rsidRPr="00AD7688">
        <w:rPr>
          <w:rFonts w:asciiTheme="minorHAnsi" w:hAnsiTheme="minorHAnsi" w:cs="Times New Roman"/>
          <w:i/>
          <w:iCs/>
        </w:rPr>
        <w:t>providing</w:t>
      </w:r>
      <w:proofErr w:type="spellEnd"/>
      <w:r w:rsidRPr="00AD7688">
        <w:rPr>
          <w:rFonts w:asciiTheme="minorHAnsi" w:hAnsiTheme="minorHAnsi" w:cs="Times New Roman"/>
        </w:rPr>
        <w:t xml:space="preserve">, tale operazione societaria appare, tuttavia, in contrasto con il principio generale che, ai sensi dell’articolo 4, comma 1, T.U. sulle partecipate, </w:t>
      </w: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 xml:space="preserve">BOLLETTINO N. 23 DEL 19 GIUGNO 2017 </w:t>
      </w:r>
    </w:p>
    <w:p w:rsidR="00AD7688" w:rsidRPr="00AD7688" w:rsidRDefault="00AD7688" w:rsidP="00AD7688">
      <w:pPr>
        <w:pStyle w:val="Default"/>
        <w:pageBreakBefore/>
        <w:rPr>
          <w:rFonts w:asciiTheme="minorHAnsi" w:hAnsiTheme="minorHAnsi" w:cs="Times New Roman"/>
        </w:rPr>
      </w:pPr>
      <w:r w:rsidRPr="00AD7688">
        <w:rPr>
          <w:rFonts w:asciiTheme="minorHAnsi" w:hAnsiTheme="minorHAnsi" w:cs="Times New Roman"/>
        </w:rPr>
        <w:lastRenderedPageBreak/>
        <w:t xml:space="preserve">34 </w:t>
      </w: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consente a un’amministrazione pubblica di superare il divieto di acquistare, anche indirettamente, una partecipazione societaria. Nel caso di specie, precisamente, non sembra che MTF S.r.l. abbia per oggetto lo svolgimento di “</w:t>
      </w:r>
      <w:r w:rsidRPr="00AD7688">
        <w:rPr>
          <w:rFonts w:asciiTheme="minorHAnsi" w:hAnsiTheme="minorHAnsi" w:cs="Times New Roman"/>
          <w:i/>
          <w:iCs/>
        </w:rPr>
        <w:t xml:space="preserve">attività di produzione di beni e servizi </w:t>
      </w:r>
      <w:r w:rsidRPr="00AD7688">
        <w:rPr>
          <w:rFonts w:asciiTheme="minorHAnsi" w:hAnsiTheme="minorHAnsi" w:cs="Times New Roman"/>
        </w:rPr>
        <w:t xml:space="preserve">[…] </w:t>
      </w:r>
      <w:r w:rsidRPr="00AD7688">
        <w:rPr>
          <w:rFonts w:asciiTheme="minorHAnsi" w:hAnsiTheme="minorHAnsi" w:cs="Times New Roman"/>
          <w:i/>
          <w:iCs/>
        </w:rPr>
        <w:t xml:space="preserve">strettamente necessarie per il perseguimento delle </w:t>
      </w:r>
      <w:r w:rsidRPr="00AD7688">
        <w:rPr>
          <w:rFonts w:asciiTheme="minorHAnsi" w:hAnsiTheme="minorHAnsi" w:cs="Times New Roman"/>
        </w:rPr>
        <w:t xml:space="preserve">[…] </w:t>
      </w:r>
      <w:r w:rsidRPr="00AD7688">
        <w:rPr>
          <w:rFonts w:asciiTheme="minorHAnsi" w:hAnsiTheme="minorHAnsi" w:cs="Times New Roman"/>
          <w:i/>
          <w:iCs/>
        </w:rPr>
        <w:t>finalità istituzionali</w:t>
      </w:r>
      <w:r w:rsidRPr="00AD7688">
        <w:rPr>
          <w:rFonts w:asciiTheme="minorHAnsi" w:hAnsiTheme="minorHAnsi" w:cs="Times New Roman"/>
        </w:rPr>
        <w:t xml:space="preserve">” della città di Caorle. Infatti, il Comune di Caorle, a seguito dell’eventuale perfezionarsi dell’acquisto del pacchetto azionario di MTF S.r.l., diventerebbe, tramite ASVO S.p.A. - società </w:t>
      </w:r>
      <w:r w:rsidRPr="00AD7688">
        <w:rPr>
          <w:rFonts w:asciiTheme="minorHAnsi" w:hAnsiTheme="minorHAnsi" w:cs="Times New Roman"/>
          <w:i/>
          <w:iCs/>
        </w:rPr>
        <w:t xml:space="preserve">in house </w:t>
      </w:r>
      <w:proofErr w:type="spellStart"/>
      <w:r w:rsidRPr="00AD7688">
        <w:rPr>
          <w:rFonts w:asciiTheme="minorHAnsi" w:hAnsiTheme="minorHAnsi" w:cs="Times New Roman"/>
          <w:i/>
          <w:iCs/>
        </w:rPr>
        <w:t>providing</w:t>
      </w:r>
      <w:proofErr w:type="spellEnd"/>
      <w:r w:rsidRPr="00AD7688">
        <w:rPr>
          <w:rFonts w:asciiTheme="minorHAnsi" w:hAnsiTheme="minorHAnsi" w:cs="Times New Roman"/>
          <w:i/>
          <w:iCs/>
        </w:rPr>
        <w:t xml:space="preserve"> </w:t>
      </w:r>
      <w:r w:rsidRPr="00AD7688">
        <w:rPr>
          <w:rFonts w:asciiTheme="minorHAnsi" w:hAnsiTheme="minorHAnsi" w:cs="Times New Roman"/>
        </w:rPr>
        <w:t xml:space="preserve">per lo svolgimento del servizio di igiene urbana nel mandamento di Portogruaro (Ve) - socio di maggioranza della società MFT S.r.l. che svolge </w:t>
      </w:r>
      <w:r w:rsidRPr="00AD7688">
        <w:rPr>
          <w:rFonts w:asciiTheme="minorHAnsi" w:hAnsiTheme="minorHAnsi" w:cs="Times New Roman"/>
          <w:i/>
          <w:iCs/>
        </w:rPr>
        <w:t xml:space="preserve">in house </w:t>
      </w:r>
      <w:proofErr w:type="spellStart"/>
      <w:r w:rsidRPr="00AD7688">
        <w:rPr>
          <w:rFonts w:asciiTheme="minorHAnsi" w:hAnsiTheme="minorHAnsi" w:cs="Times New Roman"/>
          <w:i/>
          <w:iCs/>
        </w:rPr>
        <w:t>providing</w:t>
      </w:r>
      <w:proofErr w:type="spellEnd"/>
      <w:r w:rsidRPr="00AD7688">
        <w:rPr>
          <w:rFonts w:asciiTheme="minorHAnsi" w:hAnsiTheme="minorHAnsi" w:cs="Times New Roman"/>
          <w:i/>
          <w:iCs/>
        </w:rPr>
        <w:t xml:space="preserve"> </w:t>
      </w:r>
      <w:r w:rsidRPr="00AD7688">
        <w:rPr>
          <w:rFonts w:asciiTheme="minorHAnsi" w:hAnsiTheme="minorHAnsi" w:cs="Times New Roman"/>
        </w:rPr>
        <w:t xml:space="preserve">il servizio di igiene urbana nel diverso territorio di Lignano Sabbiadoro (Ud). </w:t>
      </w: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 xml:space="preserve">L’attività di produzione svolta da MTF S.r.l. appare, quindi, esulare completamente dai fini strettamente necessari al perseguimento delle finalità istituzionali del Comune di Caorle che, nello specifico, consistono nella gestione </w:t>
      </w:r>
      <w:r w:rsidRPr="00AD7688">
        <w:rPr>
          <w:rFonts w:asciiTheme="minorHAnsi" w:hAnsiTheme="minorHAnsi" w:cs="Times New Roman"/>
          <w:i/>
          <w:iCs/>
        </w:rPr>
        <w:t xml:space="preserve">in house </w:t>
      </w:r>
      <w:proofErr w:type="spellStart"/>
      <w:r w:rsidRPr="00AD7688">
        <w:rPr>
          <w:rFonts w:asciiTheme="minorHAnsi" w:hAnsiTheme="minorHAnsi" w:cs="Times New Roman"/>
          <w:i/>
          <w:iCs/>
        </w:rPr>
        <w:t>providing</w:t>
      </w:r>
      <w:proofErr w:type="spellEnd"/>
      <w:r w:rsidRPr="00AD7688">
        <w:rPr>
          <w:rFonts w:asciiTheme="minorHAnsi" w:hAnsiTheme="minorHAnsi" w:cs="Times New Roman"/>
        </w:rPr>
        <w:t xml:space="preserve">, tramite la società ASVO S.p.A., del servizio comunale di igiene urbana. L’iniziativa per l’acquisizione da parte di ASVO S.p.A. del 99% di MTF S.r.l. sembra, pertanto, configurarsi come un investimento finanziario finalizzato ad allargarne il perimetro delle attività industriali oltre i confini del mandamento di Portogruaro. </w:t>
      </w: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 xml:space="preserve">La stessa motivazione analitica addotta dal Comune di Caorle per giustificare tale acquisizione ai sensi dell’articolo 5, T.U. sulle partecipate, non sembra condivisibile nella misura in cui è incentrata sul possibile miglioramento della </w:t>
      </w:r>
      <w:r w:rsidRPr="00AD7688">
        <w:rPr>
          <w:rFonts w:asciiTheme="minorHAnsi" w:hAnsiTheme="minorHAnsi" w:cs="Times New Roman"/>
          <w:i/>
          <w:iCs/>
        </w:rPr>
        <w:t xml:space="preserve">performance </w:t>
      </w:r>
      <w:r w:rsidRPr="00AD7688">
        <w:rPr>
          <w:rFonts w:asciiTheme="minorHAnsi" w:hAnsiTheme="minorHAnsi" w:cs="Times New Roman"/>
        </w:rPr>
        <w:t xml:space="preserve">complessiva che le società coinvolte nell’operazione otterrebbero nella rispettiva gestione </w:t>
      </w:r>
      <w:r w:rsidRPr="00AD7688">
        <w:rPr>
          <w:rFonts w:asciiTheme="minorHAnsi" w:hAnsiTheme="minorHAnsi" w:cs="Times New Roman"/>
          <w:i/>
          <w:iCs/>
        </w:rPr>
        <w:t xml:space="preserve">in house </w:t>
      </w:r>
      <w:proofErr w:type="spellStart"/>
      <w:r w:rsidRPr="00AD7688">
        <w:rPr>
          <w:rFonts w:asciiTheme="minorHAnsi" w:hAnsiTheme="minorHAnsi" w:cs="Times New Roman"/>
          <w:i/>
          <w:iCs/>
        </w:rPr>
        <w:t>providing</w:t>
      </w:r>
      <w:proofErr w:type="spellEnd"/>
      <w:r w:rsidRPr="00AD7688">
        <w:rPr>
          <w:rFonts w:asciiTheme="minorHAnsi" w:hAnsiTheme="minorHAnsi" w:cs="Times New Roman"/>
          <w:i/>
          <w:iCs/>
        </w:rPr>
        <w:t xml:space="preserve"> </w:t>
      </w:r>
      <w:r w:rsidRPr="00AD7688">
        <w:rPr>
          <w:rFonts w:asciiTheme="minorHAnsi" w:hAnsiTheme="minorHAnsi" w:cs="Times New Roman"/>
        </w:rPr>
        <w:t xml:space="preserve">del servizi di igiene urbana. Sul punto, vale tuttavia osservare che, nell’ipotesi in cui il Comune di Caorle e quello di Lignano Sabbiadoro ritenessero insoddisfacente la gestione </w:t>
      </w:r>
      <w:r w:rsidRPr="00AD7688">
        <w:rPr>
          <w:rFonts w:asciiTheme="minorHAnsi" w:hAnsiTheme="minorHAnsi" w:cs="Times New Roman"/>
          <w:i/>
          <w:iCs/>
        </w:rPr>
        <w:t xml:space="preserve">in house </w:t>
      </w:r>
      <w:r w:rsidRPr="00AD7688">
        <w:rPr>
          <w:rFonts w:asciiTheme="minorHAnsi" w:hAnsiTheme="minorHAnsi" w:cs="Times New Roman"/>
        </w:rPr>
        <w:t xml:space="preserve">del proprio servizio di igiene urbana, essi dovrebbero semmai valutare la possibilità di rivederne la modalità di gestione ricorrendo, nel caso, alla selezione con gara del gestore o dell’eventuale socio industriale. </w:t>
      </w:r>
    </w:p>
    <w:p w:rsidR="00AD7688" w:rsidRDefault="00AD7688" w:rsidP="00AD7688">
      <w:pPr>
        <w:pStyle w:val="Default"/>
        <w:rPr>
          <w:rFonts w:asciiTheme="minorHAnsi" w:hAnsiTheme="minorHAnsi" w:cs="Times New Roman"/>
        </w:rPr>
      </w:pPr>
      <w:r w:rsidRPr="00AD7688">
        <w:rPr>
          <w:rFonts w:asciiTheme="minorHAnsi" w:hAnsiTheme="minorHAnsi" w:cs="Times New Roman"/>
        </w:rPr>
        <w:t xml:space="preserve">L’Autorità, in conclusione, ritiene che la deliberazione n. 7/2017 con cui il Consiglio Comunale della Città di Caorle ha autorizzato la società ASVO S.p.A. a presentare un’offerta per l’acquisizione di MTF S.r.l., si ponga in contrasto con i principi che ai sensi dell’art. 4, comma 1, del D.lgs. n. 175/2016, consentono a un’amministrazione pubblica di acquistare una partecipazione azionaria in una società. </w:t>
      </w: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p>
    <w:p w:rsidR="00AD7688" w:rsidRDefault="00AD7688" w:rsidP="00AD7688">
      <w:pPr>
        <w:pStyle w:val="Default"/>
        <w:rPr>
          <w:rFonts w:asciiTheme="minorHAnsi" w:hAnsiTheme="minorHAnsi" w:cs="Times New Roman"/>
        </w:rPr>
      </w:pPr>
      <w:bookmarkStart w:id="0" w:name="_GoBack"/>
      <w:bookmarkEnd w:id="0"/>
    </w:p>
    <w:p w:rsidR="00AD7688" w:rsidRDefault="00AD7688" w:rsidP="00AD7688">
      <w:pPr>
        <w:pStyle w:val="Default"/>
        <w:rPr>
          <w:rFonts w:asciiTheme="minorHAnsi" w:hAnsiTheme="minorHAnsi" w:cs="Times New Roman"/>
        </w:rPr>
      </w:pP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 xml:space="preserve">BOLLETTINO N. 23 DEL 19 GIUGNO 2017 </w:t>
      </w:r>
    </w:p>
    <w:p w:rsidR="00AD7688" w:rsidRPr="00AD7688" w:rsidRDefault="00AD7688" w:rsidP="00AD7688">
      <w:pPr>
        <w:pStyle w:val="Default"/>
        <w:pageBreakBefore/>
        <w:rPr>
          <w:rFonts w:asciiTheme="minorHAnsi" w:hAnsiTheme="minorHAnsi" w:cs="Times New Roman"/>
        </w:rPr>
      </w:pPr>
      <w:r w:rsidRPr="00AD7688">
        <w:rPr>
          <w:rFonts w:asciiTheme="minorHAnsi" w:hAnsiTheme="minorHAnsi" w:cs="Times New Roman"/>
        </w:rPr>
        <w:lastRenderedPageBreak/>
        <w:t xml:space="preserve">35 </w:t>
      </w:r>
    </w:p>
    <w:p w:rsidR="00AD7688" w:rsidRDefault="00AD7688" w:rsidP="00AD7688">
      <w:pPr>
        <w:pStyle w:val="Default"/>
        <w:rPr>
          <w:rFonts w:asciiTheme="minorHAnsi" w:hAnsiTheme="minorHAnsi" w:cs="Times New Roman"/>
        </w:rPr>
      </w:pPr>
    </w:p>
    <w:p w:rsidR="00AD7688" w:rsidRPr="00AD7688" w:rsidRDefault="00AD7688" w:rsidP="00AD7688">
      <w:pPr>
        <w:pStyle w:val="Default"/>
        <w:rPr>
          <w:rFonts w:asciiTheme="minorHAnsi" w:hAnsiTheme="minorHAnsi" w:cs="Times New Roman"/>
        </w:rPr>
      </w:pPr>
      <w:r w:rsidRPr="00AD7688">
        <w:rPr>
          <w:rFonts w:asciiTheme="minorHAnsi" w:hAnsiTheme="minorHAnsi" w:cs="Times New Roman"/>
        </w:rPr>
        <w:t>Ai sensi dell’articolo 21-</w:t>
      </w:r>
      <w:r w:rsidRPr="00AD7688">
        <w:rPr>
          <w:rFonts w:asciiTheme="minorHAnsi" w:hAnsiTheme="minorHAnsi" w:cs="Times New Roman"/>
          <w:i/>
          <w:iCs/>
        </w:rPr>
        <w:t>bis</w:t>
      </w:r>
      <w:r w:rsidRPr="00AD7688">
        <w:rPr>
          <w:rFonts w:asciiTheme="minorHAnsi" w:hAnsiTheme="minorHAnsi" w:cs="Times New Roman"/>
        </w:rPr>
        <w:t xml:space="preserve">, comma 2, della legge n. 287/1990, codesto Consiglio comunale dovrà comunicare all’Autorità, entro il termine di sessanta giorni dalla ricezione del presente parere, le iniziative adottate per rimuovere le violazioni della concorrenza sopra esposte. Laddove entro il suddetto termine tali iniziative non dovessero risultare conforme alla richiamata disposizione del </w:t>
      </w:r>
      <w:proofErr w:type="spellStart"/>
      <w:r w:rsidRPr="00AD7688">
        <w:rPr>
          <w:rFonts w:asciiTheme="minorHAnsi" w:hAnsiTheme="minorHAnsi" w:cs="Times New Roman"/>
        </w:rPr>
        <w:t>D.lgs</w:t>
      </w:r>
      <w:proofErr w:type="spellEnd"/>
      <w:r w:rsidRPr="00AD7688">
        <w:rPr>
          <w:rFonts w:asciiTheme="minorHAnsi" w:hAnsiTheme="minorHAnsi" w:cs="Times New Roman"/>
        </w:rPr>
        <w:t xml:space="preserve"> n. 175/2016, l’Autorità potrà presentare ricorso entro i successivi trenta giorni. </w:t>
      </w:r>
    </w:p>
    <w:tbl>
      <w:tblPr>
        <w:tblW w:w="0" w:type="auto"/>
        <w:tblBorders>
          <w:top w:val="nil"/>
          <w:left w:val="nil"/>
          <w:bottom w:val="nil"/>
          <w:right w:val="nil"/>
        </w:tblBorders>
        <w:tblLayout w:type="fixed"/>
        <w:tblLook w:val="0000" w:firstRow="0" w:lastRow="0" w:firstColumn="0" w:lastColumn="0" w:noHBand="0" w:noVBand="0"/>
      </w:tblPr>
      <w:tblGrid>
        <w:gridCol w:w="1715"/>
      </w:tblGrid>
      <w:tr w:rsidR="00AD7688" w:rsidRPr="00AD7688">
        <w:tblPrEx>
          <w:tblCellMar>
            <w:top w:w="0" w:type="dxa"/>
            <w:bottom w:w="0" w:type="dxa"/>
          </w:tblCellMar>
        </w:tblPrEx>
        <w:trPr>
          <w:trHeight w:val="268"/>
        </w:trPr>
        <w:tc>
          <w:tcPr>
            <w:tcW w:w="1715" w:type="dxa"/>
          </w:tcPr>
          <w:p w:rsidR="00AD7688" w:rsidRPr="00AD7688" w:rsidRDefault="00AD7688">
            <w:pPr>
              <w:pStyle w:val="Default"/>
              <w:rPr>
                <w:rFonts w:asciiTheme="minorHAnsi" w:hAnsiTheme="minorHAnsi"/>
              </w:rPr>
            </w:pPr>
            <w:r w:rsidRPr="00AD7688">
              <w:rPr>
                <w:rFonts w:asciiTheme="minorHAnsi" w:hAnsiTheme="minorHAnsi" w:cs="Times New Roman"/>
              </w:rPr>
              <w:t xml:space="preserve">Il presente parere verrà pubblicato sul Bollettino dell’Autorità ai sensi dell’art. 26 della legge n. 287/1990. f.f. IL PRESIDENTE </w:t>
            </w:r>
          </w:p>
          <w:p w:rsidR="00AD7688" w:rsidRPr="00AD7688" w:rsidRDefault="00AD7688">
            <w:pPr>
              <w:pStyle w:val="Default"/>
              <w:rPr>
                <w:rFonts w:asciiTheme="minorHAnsi" w:hAnsiTheme="minorHAnsi" w:cs="Times New Roman"/>
              </w:rPr>
            </w:pPr>
            <w:r w:rsidRPr="00AD7688">
              <w:rPr>
                <w:rFonts w:asciiTheme="minorHAnsi" w:hAnsiTheme="minorHAnsi" w:cs="Times New Roman"/>
                <w:i/>
                <w:iCs/>
              </w:rPr>
              <w:t xml:space="preserve">Gabriella Muscolo </w:t>
            </w:r>
          </w:p>
        </w:tc>
      </w:tr>
    </w:tbl>
    <w:p w:rsidR="00432C03" w:rsidRPr="00AD7688" w:rsidRDefault="00432C03">
      <w:pPr>
        <w:rPr>
          <w:sz w:val="24"/>
          <w:szCs w:val="24"/>
        </w:rPr>
      </w:pPr>
    </w:p>
    <w:sectPr w:rsidR="00432C03" w:rsidRPr="00AD7688" w:rsidSect="00AD76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688"/>
    <w:rsid w:val="00432C03"/>
    <w:rsid w:val="00AD76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D7688"/>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D7688"/>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977</Words>
  <Characters>5572</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luciano2013</dc:creator>
  <cp:lastModifiedBy>luciano2013</cp:lastModifiedBy>
  <cp:revision>1</cp:revision>
  <dcterms:created xsi:type="dcterms:W3CDTF">2017-06-20T09:19:00Z</dcterms:created>
  <dcterms:modified xsi:type="dcterms:W3CDTF">2017-06-20T09:23:00Z</dcterms:modified>
</cp:coreProperties>
</file>