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,Bold-OneByteIdentit" w:hAnsi="TrebuchetMS,Bold-OneByteIdentit" w:cs="TrebuchetMS,Bold-OneByteIdentit"/>
          <w:b/>
          <w:bCs/>
          <w:sz w:val="44"/>
          <w:szCs w:val="44"/>
        </w:rPr>
      </w:pPr>
      <w:r>
        <w:rPr>
          <w:rFonts w:ascii="TrebuchetMS,Bold-OneByteIdentit" w:hAnsi="TrebuchetMS,Bold-OneByteIdentit" w:cs="TrebuchetMS,Bold-OneByteIdentit"/>
          <w:b/>
          <w:bCs/>
          <w:sz w:val="44"/>
          <w:szCs w:val="44"/>
        </w:rPr>
        <w:t>Bollettino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32"/>
          <w:szCs w:val="32"/>
        </w:rPr>
      </w:pPr>
      <w:r>
        <w:rPr>
          <w:rFonts w:ascii="TrebuchetMS-OneByteIdentityH" w:hAnsi="TrebuchetMS-OneByteIdentityH" w:cs="TrebuchetMS-OneByteIdentityH"/>
          <w:sz w:val="32"/>
          <w:szCs w:val="32"/>
        </w:rPr>
        <w:t>Settimanale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4"/>
          <w:szCs w:val="24"/>
        </w:rPr>
      </w:pPr>
      <w:r>
        <w:rPr>
          <w:rFonts w:ascii="TrebuchetMS-OneByteIdentityH" w:hAnsi="TrebuchetMS-OneByteIdentityH" w:cs="TrebuchetMS-OneByteIdentityH"/>
          <w:sz w:val="24"/>
          <w:szCs w:val="24"/>
        </w:rPr>
        <w:t>Anno XXVII - n. 20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,BoldItalic-OneByteI" w:hAnsi="TrebuchetMS,BoldItalic-OneByteI" w:cs="TrebuchetMS,BoldItalic-OneByteI"/>
          <w:b/>
          <w:bCs/>
          <w:i/>
          <w:iCs/>
          <w:sz w:val="24"/>
          <w:szCs w:val="24"/>
        </w:rPr>
      </w:pPr>
      <w:r>
        <w:rPr>
          <w:rFonts w:ascii="TrebuchetMS,Bold-OneByteIdentit" w:hAnsi="TrebuchetMS,Bold-OneByteIdentit" w:cs="TrebuchetMS,Bold-OneByteIdentit"/>
          <w:b/>
          <w:bCs/>
          <w:sz w:val="24"/>
          <w:szCs w:val="24"/>
        </w:rPr>
        <w:t xml:space="preserve">Pubblicato sul sito </w:t>
      </w:r>
      <w:r>
        <w:rPr>
          <w:rFonts w:ascii="TrebuchetMS,BoldItalic-OneByteI" w:hAnsi="TrebuchetMS,BoldItalic-OneByteI" w:cs="TrebuchetMS,BoldItalic-OneByteI"/>
          <w:b/>
          <w:bCs/>
          <w:i/>
          <w:iCs/>
          <w:sz w:val="24"/>
          <w:szCs w:val="24"/>
        </w:rPr>
        <w:t>www.agcm.it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4"/>
          <w:szCs w:val="24"/>
        </w:rPr>
      </w:pPr>
      <w:r>
        <w:rPr>
          <w:rFonts w:ascii="TrebuchetMS-OneByteIdentityH" w:hAnsi="TrebuchetMS-OneByteIdentityH" w:cs="TrebuchetMS-OneByteIdentityH"/>
          <w:sz w:val="24"/>
          <w:szCs w:val="24"/>
        </w:rPr>
        <w:t>29 maggio 2017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4"/>
          <w:szCs w:val="24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,Bold-OneByteIdentit" w:hAnsi="TrebuchetMS,Bold-OneByteIdentit" w:cs="TrebuchetMS,Bold-OneByteIdentit"/>
          <w:b/>
          <w:bCs/>
          <w:sz w:val="24"/>
          <w:szCs w:val="24"/>
        </w:rPr>
      </w:pPr>
      <w:r>
        <w:rPr>
          <w:rFonts w:ascii="TrebuchetMS,Bold-OneByteIdentit" w:hAnsi="TrebuchetMS,Bold-OneByteIdentit" w:cs="TrebuchetMS,Bold-OneByteIdentit"/>
          <w:b/>
          <w:bCs/>
          <w:sz w:val="24"/>
          <w:szCs w:val="24"/>
        </w:rPr>
        <w:t>SOMMARIO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rebuchetMS-OneByteIdentityH" w:hAnsi="TrebuchetMS-OneByteIdentityH" w:cs="TrebuchetMS-OneByteIdentityH"/>
          <w:sz w:val="20"/>
          <w:szCs w:val="20"/>
        </w:rPr>
        <w:t>INTESE E ABUSO DI POSIZIONE DOMINANTE 5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A495 - GARA TPL PADOVA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26610 5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I796 - SERVIZI DI SUPPORTO E ASSISTENZA TECNICA ALLA PA NEI PROGRAMMI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COFINANZIATI DALL’UE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26611 15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rebuchetMS-OneByteIdentityH" w:hAnsi="TrebuchetMS-OneByteIdentityH" w:cs="TrebuchetMS-OneByteIdentityH"/>
          <w:sz w:val="20"/>
          <w:szCs w:val="20"/>
        </w:rPr>
        <w:t>ATTIVITA' DI SEGNALAZIONE E CONSULTIVA 16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imes-Bold" w:hAnsi="Times-Bold" w:cs="Times-Bold"/>
          <w:b/>
          <w:bCs/>
          <w:sz w:val="16"/>
          <w:szCs w:val="16"/>
        </w:rPr>
        <w:t xml:space="preserve">AS1375 – REGIONE LAZIO - ACCORDO DI PROGRAMMA SU FERROVIE EX CONCESSE </w:t>
      </w:r>
      <w:r>
        <w:rPr>
          <w:rFonts w:ascii="TrebuchetMS-OneByteIdentityH" w:hAnsi="TrebuchetMS-OneByteIdentityH" w:cs="TrebuchetMS-OneByteIdentityH"/>
          <w:sz w:val="20"/>
          <w:szCs w:val="20"/>
        </w:rPr>
        <w:t>16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imes-Bold" w:hAnsi="Times-Bold" w:cs="Times-Bold"/>
          <w:b/>
          <w:bCs/>
          <w:sz w:val="16"/>
          <w:szCs w:val="16"/>
        </w:rPr>
        <w:t xml:space="preserve">AS1376 - REGIONE LAZIO - ATAC/CONTRATTO DI SERVIZIO LINEE EX CONCESSE </w:t>
      </w:r>
      <w:r>
        <w:rPr>
          <w:rFonts w:ascii="TrebuchetMS-OneByteIdentityH" w:hAnsi="TrebuchetMS-OneByteIdentityH" w:cs="TrebuchetMS-OneByteIdentityH"/>
          <w:sz w:val="20"/>
          <w:szCs w:val="20"/>
        </w:rPr>
        <w:t>20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rebuchetMS-OneByteIdentityH" w:hAnsi="TrebuchetMS-OneByteIdentityH" w:cs="TrebuchetMS-OneByteIdentityH"/>
          <w:sz w:val="20"/>
          <w:szCs w:val="20"/>
        </w:rPr>
        <w:t>PRATICHE COMMERCIALI SCORRETTE 24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PS10398 - CAREMAR-SPESE EMISSIONE BIGLIETTO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26604 24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PS10568 - TOREMAR-SPESE EMISSIONE BIGLIETTO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26606 32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PS10517 - PRIMA ASSICURAZIONI/SPOT CONTRO AGENTI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26612 41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PS10602 - VENETO BANCA-VENDITA ABBINATA FINANZIAMENTI-AZIONI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26613 59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5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,Bold-OneByteIdentit" w:hAnsi="TrebuchetMS,Bold-OneByteIdentit" w:cs="TrebuchetMS,Bold-OneByteIdentit"/>
          <w:b/>
          <w:bCs/>
          <w:sz w:val="30"/>
          <w:szCs w:val="3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,Bold-OneByteIdentit" w:hAnsi="TrebuchetMS,Bold-OneByteIdentit" w:cs="TrebuchetMS,Bold-OneByteIdentit"/>
          <w:b/>
          <w:bCs/>
          <w:sz w:val="30"/>
          <w:szCs w:val="30"/>
        </w:rPr>
      </w:pPr>
      <w:r>
        <w:rPr>
          <w:rFonts w:ascii="TrebuchetMS,Bold-OneByteIdentit" w:hAnsi="TrebuchetMS,Bold-OneByteIdentit" w:cs="TrebuchetMS,Bold-OneByteIdentit"/>
          <w:b/>
          <w:bCs/>
          <w:sz w:val="30"/>
          <w:szCs w:val="30"/>
        </w:rPr>
        <w:t>INTESE E ABUSO DI POSIZIONE DOMINANTE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A495 - GARA TPL PADOVA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26610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L’AUTORITÀ GARANTE DELLA CONCORRENZA E DEL MERCATO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NELLA SUA ADUNANZA dell’11 maggio 2017;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SENTITO il Relatore Dottoressa Gabriella Muscolo;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VISTA la legge 10 ottobre 1990, n. 287 e, in particolare, 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ter </w:t>
      </w:r>
      <w:r>
        <w:rPr>
          <w:rFonts w:ascii="Times-Roman" w:hAnsi="Times-Roman" w:cs="Times-Roman"/>
          <w:sz w:val="20"/>
          <w:szCs w:val="20"/>
        </w:rPr>
        <w:t>introdotto dalla legge 4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agosto 2006, n. 248, che ha convertito con modifiche il decreto-legge 4 luglio 2006, n. 223;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VISTO il proprio provvedimento del 15 giugno 2016, con il quale è stata avviata un’istruttoria ai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sensi dell’articolo 14 della legge n. 287/90, nei confronti delle società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 e APS Holding S.p.A., per accertare l'esistenza di presunte violazioni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dell'articolo 102 del Trattato sul Funzionamento dell’Unione Europea (TFUE) e dell’articolo 3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della legge n. 287/90, nei mercati dei servizi di trasporto pubblico locale nel bacino territoriale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ottimale e omogeneo di Padova;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VISTO il medesimo provvedimento del 15 giugno 2016 con il quale è stato avviato anche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procedimento cautelare,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bis </w:t>
      </w:r>
      <w:r>
        <w:rPr>
          <w:rFonts w:ascii="Times-Roman" w:hAnsi="Times-Roman" w:cs="Times-Roman"/>
          <w:sz w:val="20"/>
          <w:szCs w:val="20"/>
        </w:rPr>
        <w:t>della legge n. 287/90 nei confronti delle stesse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Parti;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VISTA la comunicazione del 7 luglio 2016 con la quale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e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Nord S.r.l. hanno prodotto quanto richiesto a seguito dell’avvio del procedimento cautelare;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VISTO il proprio provvedimento del 20 luglio 2016, con il quale è stato deliberato: a) di non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adottare le misure cautelari di cui all’articolo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bis </w:t>
      </w:r>
      <w:r>
        <w:rPr>
          <w:rFonts w:ascii="Times-Roman" w:hAnsi="Times-Roman" w:cs="Times-Roman"/>
          <w:sz w:val="20"/>
          <w:szCs w:val="20"/>
        </w:rPr>
        <w:t xml:space="preserve">della legge n. 287/90 nei confronti di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Veneto S.p.A. e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S.r.l.; b) di adottare le misure cautelari di cui al medesimo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articolo nei confronti di APS Holding S.p.A., consistenti nell’ordinare alla suddetta società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fornire entro il 29 luglio 2016 all’Ente di Governo del bacino del trasporto pubblico locale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Padova le informazioni e i dati richiesti e indicati nel paragrafo 28 del provvedimento di avvio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procedimento del 15 giugno 2016;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VISTA la delibera del 14 settembre 2016 con cui l’Autorità ha preso atto della relazione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ottemperanza di APS Holding S.p.A.;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VISTA la “</w:t>
      </w:r>
      <w:r>
        <w:rPr>
          <w:rFonts w:ascii="Times-Italic" w:hAnsi="Times-Italic" w:cs="Times-Italic"/>
          <w:i/>
          <w:iCs/>
          <w:sz w:val="20"/>
          <w:szCs w:val="20"/>
        </w:rPr>
        <w:t>Comunicazione sulle procedure di applicazione dell’articolo 14-ter della legge 10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ottobre 1990, n. 287</w:t>
      </w:r>
      <w:r>
        <w:rPr>
          <w:rFonts w:ascii="Times-Roman" w:hAnsi="Times-Roman" w:cs="Times-Roman"/>
          <w:sz w:val="20"/>
          <w:szCs w:val="20"/>
        </w:rPr>
        <w:t>”, assunta nell’adunanza del 6 settembre 2012 e pubblicata sul Bollettino n. 35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 17 settembre 2012;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VISTA la comunicazione del 14 dicembre 2016, con la quale le società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lastRenderedPageBreak/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 hanno presentato impegni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ter </w:t>
      </w:r>
      <w:r>
        <w:rPr>
          <w:rFonts w:ascii="Times-Roman" w:hAnsi="Times-Roman" w:cs="Times-Roman"/>
          <w:sz w:val="20"/>
          <w:szCs w:val="20"/>
        </w:rPr>
        <w:t>della legge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n. 287/90, secondo le modalità indicate specificamente nell’apposito “</w:t>
      </w:r>
      <w:r>
        <w:rPr>
          <w:rFonts w:ascii="Times-Italic" w:hAnsi="Times-Italic" w:cs="Times-Italic"/>
          <w:i/>
          <w:iCs/>
          <w:sz w:val="20"/>
          <w:szCs w:val="20"/>
        </w:rPr>
        <w:t>Formulario per 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presentazione degli impegni ai sensi dell’articolo 14-ter della legge n. 287/90</w:t>
      </w:r>
      <w:r>
        <w:rPr>
          <w:rFonts w:ascii="Times-Roman" w:hAnsi="Times-Roman" w:cs="Times-Roman"/>
          <w:sz w:val="20"/>
          <w:szCs w:val="20"/>
        </w:rPr>
        <w:t>”, volti a rimuovere 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profili anticoncorrenziali oggetto dell’istruttoria;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2 017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6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VISTA la propria delibera del 21 dicembre 2016, con la quale è stata disposta la pubblicazione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degli impegni proposti dalle predette società sul sito dell’Autorità, al fine di consentire ai terzi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interessati di esprimere le loro osservazioni ed è stato fissato al 9 maggio 2017 il termine entro cui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avrebbe dovuto essere adottata una decisione sugli impegni,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ter </w:t>
      </w:r>
      <w:r>
        <w:rPr>
          <w:rFonts w:ascii="Times-Roman" w:hAnsi="Times-Roman" w:cs="Times-Roman"/>
          <w:sz w:val="20"/>
          <w:szCs w:val="20"/>
        </w:rPr>
        <w:t>della legge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n. 287/90, salvo l’ulteriore termine necessario per l’acquisizione di pareri obbligatori;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VISTE le osservazioni dei terzi interessati;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VISTE le modifiche accessorie agli impegni, comunicate da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e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Sita Nord S.r.l. in data 7 marzo 2017;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VISTA la propria comunicazione alla Commissione Europea, ai sensi dell’articolo 11, paragrafo 4,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 Regolamento (CE) n. 1/2003;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VISTI gli atti del procedimento;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CONSIDERATO quanto segue: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I. LE PARTI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1) Le imprese denunciate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1.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(di seguito BV), società costituita in data 20 gennaio 2015, esercisce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 di trasporto pubblico locale (di seguito TPL) nel Bacino territoriale ottimale e omogeneo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 Padova (di seguito anche il Bacino)</w:t>
      </w:r>
      <w:r>
        <w:rPr>
          <w:rFonts w:ascii="Times-Roman" w:hAnsi="Times-Roman" w:cs="Times-Roman"/>
          <w:sz w:val="18"/>
          <w:szCs w:val="18"/>
        </w:rPr>
        <w:t xml:space="preserve">1 </w:t>
      </w:r>
      <w:r>
        <w:rPr>
          <w:rFonts w:ascii="Times-Roman" w:hAnsi="Times-Roman" w:cs="Times-Roman"/>
          <w:sz w:val="20"/>
          <w:szCs w:val="20"/>
        </w:rPr>
        <w:t>per il comparto urbano del capoluogo (Padova e comuni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 1^ cintura) ed extraurbano del bacino padovano. In particolare, BV ha acquisito in data 30 aprile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2015 i rami di azienda dei precedenti concessionari di TPL urbano – APS Holding </w:t>
      </w:r>
      <w:proofErr w:type="spellStart"/>
      <w:r>
        <w:rPr>
          <w:rFonts w:ascii="Times-Roman" w:hAnsi="Times-Roman" w:cs="Times-Roman"/>
          <w:sz w:val="20"/>
          <w:szCs w:val="20"/>
        </w:rPr>
        <w:t>S.p.A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– ed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extraurbano –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 – ed è subentrata in relazione di continuità operativa dei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contratti di concessione in essere tra queste ultime rispettivamente con il Comune e con 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Provincia di Padova</w:t>
      </w:r>
      <w:r>
        <w:rPr>
          <w:rFonts w:ascii="Times-Roman" w:hAnsi="Times-Roman" w:cs="Times-Roman"/>
          <w:sz w:val="18"/>
          <w:szCs w:val="18"/>
        </w:rPr>
        <w:t>2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Il capitale di BV è detenuto per il 55% da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S.r.l., gruppo FS, e per il 45% da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A.P.S. Holding S.p.A., a sua volta controllata dal Comune di Padova. BV è soggetto alla direzione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 coordinamento di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2.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 (di seguito BSN), è una società controllata da FS Holding S.p.A., 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quale eroga servizi di TPL su gomma in molte Regioni e prevalentemente in Toscana, Veneto,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Umbria, con una quota di mercato nazionale intorno al 6%. BSN presta anche servizi di TPL nelle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province di Padova e Rovigo attraverso la società BV.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3. APS Holding S.p.A. (di seguito APS) è una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holding </w:t>
      </w:r>
      <w:r>
        <w:rPr>
          <w:rFonts w:ascii="Times-Roman" w:hAnsi="Times-Roman" w:cs="Times-Roman"/>
          <w:sz w:val="20"/>
          <w:szCs w:val="20"/>
        </w:rPr>
        <w:t>pubblica, il cui capitale sociale è detenuto al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99,97% dal Comune di Padova (in via diretta al 75,21% e per il restante 24,76% tramite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1 Con deliberazione n. 2048/2013, la Giunta Regionale del Veneto ha definito il perimento dei Bacini territoriali ottimali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omogenei dei servizi di TPL, individuando la scala provinciale quale dimensione territoriale ottimale per la gestione di tali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servizi, comprendente, per Padova, l’insieme dei servizi di TPL su gomma e tranviario, urbano ed extraurbano, ricadenti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nel territorio provinciale.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 Più precisamente, a BV sono stati conferiti, da APS Holding S.p.A., il ramo di azienda relativo al trasporto urbano ed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extraurbano (comuni di 1^ cintura ) del Comune di Padova e la gestione del tram, e da </w:t>
      </w:r>
      <w:proofErr w:type="spellStart"/>
      <w:r>
        <w:rPr>
          <w:rFonts w:ascii="Times-Roman" w:hAnsi="Times-Roman" w:cs="Times-Roman"/>
          <w:sz w:val="16"/>
          <w:szCs w:val="16"/>
        </w:rPr>
        <w:t>Busitalia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 Sita Nord S.r.l. il ramo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azienda relativo al trasporto extraurbano della Provincia di Padova, il trasporto urbano del Comune di Rovigo e il trasporto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extraurbano della Provincia di Rovigo.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Finanziaria APS S.p.A.) e per la restante quota da alcuni Comuni del circondario. APS è attiva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direttamente nel settore dei parcheggi e del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car sharing </w:t>
      </w:r>
      <w:r>
        <w:rPr>
          <w:rFonts w:ascii="Times-Roman" w:hAnsi="Times-Roman" w:cs="Times-Roman"/>
          <w:sz w:val="20"/>
          <w:szCs w:val="20"/>
        </w:rPr>
        <w:t>mentre i suoi interessi nel settore del TPL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sono di natura indiretta tramite la partecipazione del 45% in BV.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2) Il denunciante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4. La Provincia di Padova (di seguito anche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>) è stata designata congiuntamente al Comune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Padova quale Ente di Governo (di seguito anche 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>) del TPL nel Bacino di Padova con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deliberazione n. 1033/2014 del 24 giugno 2014 della Giunta Regionale del Veneto. La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e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Comune hanno sottoscritto una Convenzione per il funzionamento dell’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in data 7 maggio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2014, in virtù della quale alla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spettano talune competenze in relazione all’istruttoria tecnica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amministrativa funzionale alle decisioni dell’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II. IL PROCEDIMENTO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1) L’avvio e le condotte contestate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5. A seguito di una segnalazione del 10 dicembre 2015, integrata il 5 maggio 2016</w:t>
      </w:r>
      <w:r>
        <w:rPr>
          <w:rFonts w:ascii="Times-Roman" w:hAnsi="Times-Roman" w:cs="Times-Roman"/>
          <w:sz w:val="18"/>
          <w:szCs w:val="18"/>
        </w:rPr>
        <w:t>3</w:t>
      </w:r>
      <w:r>
        <w:rPr>
          <w:rFonts w:ascii="Times-Roman" w:hAnsi="Times-Roman" w:cs="Times-Roman"/>
          <w:sz w:val="20"/>
          <w:szCs w:val="20"/>
        </w:rPr>
        <w:t>, l’Autorità in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data 15 giugno 2016 ha avviato un’istruttoria ai sensi dell’articolo 14 della legge n. 287/90, nei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confronti delle società BV, BSN e APS volta ad accertare l'esistenza di violazioni dell'articolo 102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 TFUE e dell’articolo 3 della legge n. 287/90.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6. Le condotte contestate consistevano: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(i) </w:t>
      </w:r>
      <w:r>
        <w:rPr>
          <w:rFonts w:ascii="Times-Roman" w:hAnsi="Times-Roman" w:cs="Times-Roman"/>
          <w:sz w:val="20"/>
          <w:szCs w:val="20"/>
        </w:rPr>
        <w:t>nell’aver ritardato e/o omesso l’invio all’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del TPL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del Bacino di Padova di informazioni strettamente indispensabili a completare gli elaborati di gara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 l’affidamento dei relativi servizi, in ossequio a quanto previsto dalla normativa nazionale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dalla delibera dell’Autorità di Regolazione dei Trasporti (“ART”) n. 49/2015 in materia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predisposizione di bandi di gara tipo per il TPL. Tali informazioni venivano indicate nel paragrafo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28 del citato provvedimento di avvio di istruttoria (art. 102 del TFUE);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(ii) </w:t>
      </w:r>
      <w:r>
        <w:rPr>
          <w:rFonts w:ascii="Times-Roman" w:hAnsi="Times-Roman" w:cs="Times-Roman"/>
          <w:sz w:val="20"/>
          <w:szCs w:val="20"/>
        </w:rPr>
        <w:t>nella minaccia della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disattivazione del servizio di acquisto dei biglietti venduti tramite il canale elettronico (di seguito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ticket SMS) per il trasporto extraurbano, in caso di mancata autorizzazione della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della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richiesta di aumento di prezzo (art. 3 della legge n. 287/90).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2) La fase cautelare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7. In relazione ai comportamenti ostruzionistici, descritti al paragrafo precedente sub </w:t>
      </w:r>
      <w:r>
        <w:rPr>
          <w:rFonts w:ascii="Times-Italic" w:hAnsi="Times-Italic" w:cs="Times-Italic"/>
          <w:i/>
          <w:iCs/>
          <w:sz w:val="20"/>
          <w:szCs w:val="20"/>
        </w:rPr>
        <w:t>(i</w:t>
      </w:r>
      <w:r>
        <w:rPr>
          <w:rFonts w:ascii="Times-Roman" w:hAnsi="Times-Roman" w:cs="Times-Roman"/>
          <w:sz w:val="20"/>
          <w:szCs w:val="20"/>
        </w:rPr>
        <w:t>), volti 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ritardare e/o omettere l’invio delle informazioni indispensabili al completamento degli elaborati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gara, con il provvedimento del 15 giugno 2016 l’Autorità ha avviato anche un procedimento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cautelare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bis </w:t>
      </w:r>
      <w:r>
        <w:rPr>
          <w:rFonts w:ascii="Times-Roman" w:hAnsi="Times-Roman" w:cs="Times-Roman"/>
          <w:sz w:val="20"/>
          <w:szCs w:val="20"/>
        </w:rPr>
        <w:t>della legge n. 287/90 nei confronti delle stesse Parti.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8. BV e BSN hanno fornito le informazioni in loro possesso con comunicazione del 7 luglio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2016</w:t>
      </w:r>
      <w:r>
        <w:rPr>
          <w:rFonts w:ascii="Times-Roman" w:hAnsi="Times-Roman" w:cs="Times-Roman"/>
          <w:sz w:val="18"/>
          <w:szCs w:val="18"/>
        </w:rPr>
        <w:t>4</w:t>
      </w:r>
      <w:r>
        <w:rPr>
          <w:rFonts w:ascii="Times-Roman" w:hAnsi="Times-Roman" w:cs="Times-Roman"/>
          <w:sz w:val="20"/>
          <w:szCs w:val="20"/>
        </w:rPr>
        <w:t>. APS ha invece fornito le informazioni in suo possesso a seguito dell’adozione della misura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cautelare da parte dell’Autorità con provvedimento del 20 luglio 2016</w:t>
      </w:r>
      <w:r>
        <w:rPr>
          <w:rFonts w:ascii="Times-Roman" w:hAnsi="Times-Roman" w:cs="Times-Roman"/>
          <w:sz w:val="18"/>
          <w:szCs w:val="18"/>
        </w:rPr>
        <w:t>5</w:t>
      </w:r>
      <w:r>
        <w:rPr>
          <w:rFonts w:ascii="Times-Roman" w:hAnsi="Times-Roman" w:cs="Times-Roman"/>
          <w:sz w:val="20"/>
          <w:szCs w:val="20"/>
        </w:rPr>
        <w:t>. Con delibera del 14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settembre 2016 l’Autorità ha preso atto della relazione di ottemperanza di APS</w:t>
      </w:r>
      <w:r>
        <w:rPr>
          <w:rFonts w:ascii="Times-Roman" w:hAnsi="Times-Roman" w:cs="Times-Roman"/>
          <w:sz w:val="18"/>
          <w:szCs w:val="18"/>
        </w:rPr>
        <w:t>6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3 Ulteriore documentazione è stata trasmessa dalla Provincia in data 23, 25 e 30 maggio 2016. Cfr. </w:t>
      </w:r>
      <w:proofErr w:type="spellStart"/>
      <w:r>
        <w:rPr>
          <w:rFonts w:ascii="Times-Roman" w:hAnsi="Times-Roman" w:cs="Times-Roman"/>
          <w:sz w:val="16"/>
          <w:szCs w:val="16"/>
        </w:rPr>
        <w:t>docc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. </w:t>
      </w:r>
      <w:proofErr w:type="spellStart"/>
      <w:r>
        <w:rPr>
          <w:rFonts w:ascii="Times-Roman" w:hAnsi="Times-Roman" w:cs="Times-Roman"/>
          <w:sz w:val="16"/>
          <w:szCs w:val="16"/>
        </w:rPr>
        <w:t>nn</w:t>
      </w:r>
      <w:proofErr w:type="spellEnd"/>
      <w:r>
        <w:rPr>
          <w:rFonts w:ascii="Times-Roman" w:hAnsi="Times-Roman" w:cs="Times-Roman"/>
          <w:sz w:val="16"/>
          <w:szCs w:val="16"/>
        </w:rPr>
        <w:t>. 1-5.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4 Cfr. doc. n. 40.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5 Cfr. </w:t>
      </w:r>
      <w:proofErr w:type="spellStart"/>
      <w:r>
        <w:rPr>
          <w:rFonts w:ascii="Times-Roman" w:hAnsi="Times-Roman" w:cs="Times-Roman"/>
          <w:sz w:val="16"/>
          <w:szCs w:val="16"/>
        </w:rPr>
        <w:t>docc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. </w:t>
      </w:r>
      <w:proofErr w:type="spellStart"/>
      <w:r>
        <w:rPr>
          <w:rFonts w:ascii="Times-Roman" w:hAnsi="Times-Roman" w:cs="Times-Roman"/>
          <w:sz w:val="16"/>
          <w:szCs w:val="16"/>
        </w:rPr>
        <w:t>nn</w:t>
      </w:r>
      <w:proofErr w:type="spellEnd"/>
      <w:r>
        <w:rPr>
          <w:rFonts w:ascii="Times-Roman" w:hAnsi="Times-Roman" w:cs="Times-Roman"/>
          <w:sz w:val="16"/>
          <w:szCs w:val="16"/>
        </w:rPr>
        <w:t>. 83, 87 e 89.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6 Cfr. doc. n. 93.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2 017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8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III. IL MERCATO RILEVANTE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9. Il mercato interessato dal presente procedimento è quello dei servizi di trasporto pubblico locale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 Bacino di Padova. Tali servizi sono attualmente eserciti da BV, distintamente per il comparto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urbano del capoluogo (Padova e comuni di 1^ cintura) ed extraurbano del bacino padovano. Infatti,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BV ha acquisito in data 30 aprile 2015 i rami di azienda dei precedenti concessionari di TPL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urbano (APS) ed extraurbano (BSN), subentrando nei rispettivi contratti di servizio con il Comune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 con la Provincia di Padova. In base ai suddetti contratti, pertanto, BV detiene una posizione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dominante nel mercato rilevante dei servizi di TPL nel Bacino di Padova.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IV. GLI IMPEGNI ORIGINARIAMENTE PROPOSTI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10. In risposta alle criticità di natura concorrenziale sollevate dall’Autorità nel provvedimento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avvio del presente procedimento, il 14 dicembre 2016 le società BV e BSN hanno presentato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impegni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ter </w:t>
      </w:r>
      <w:r>
        <w:rPr>
          <w:rFonts w:ascii="Times-Roman" w:hAnsi="Times-Roman" w:cs="Times-Roman"/>
          <w:sz w:val="20"/>
          <w:szCs w:val="20"/>
        </w:rPr>
        <w:t>della legge n. 287/90, il cui contenuto è riportato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sinteticamente nel seguito</w:t>
      </w:r>
      <w:r>
        <w:rPr>
          <w:rFonts w:ascii="Times-Roman" w:hAnsi="Times-Roman" w:cs="Times-Roman"/>
          <w:sz w:val="18"/>
          <w:szCs w:val="18"/>
        </w:rPr>
        <w:t>7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11. Con riguardo alla prima tipologia di condotta contestata (par. 6, sub </w:t>
      </w:r>
      <w:r>
        <w:rPr>
          <w:rFonts w:ascii="Times-Italic" w:hAnsi="Times-Italic" w:cs="Times-Italic"/>
          <w:i/>
          <w:iCs/>
          <w:sz w:val="20"/>
          <w:szCs w:val="20"/>
        </w:rPr>
        <w:t>(i</w:t>
      </w:r>
      <w:r>
        <w:rPr>
          <w:rFonts w:ascii="Times-Roman" w:hAnsi="Times-Roman" w:cs="Times-Roman"/>
          <w:sz w:val="20"/>
          <w:szCs w:val="20"/>
        </w:rPr>
        <w:t>)), e per quanto riguarda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BV: (a) in relazione alla gara pubblica per l’affidamento dei servizi di TPL urbano ed extraurbano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 bacino territoriale della provincia di Rovigo - per il quale BV è uno degli attuali esercenti dei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 stessi in virtù dei contratti di concessione in essere</w:t>
      </w:r>
      <w:r>
        <w:rPr>
          <w:rFonts w:ascii="Times-Roman" w:hAnsi="Times-Roman" w:cs="Times-Roman"/>
          <w:sz w:val="18"/>
          <w:szCs w:val="18"/>
        </w:rPr>
        <w:t xml:space="preserve">8 </w:t>
      </w:r>
      <w:r>
        <w:rPr>
          <w:rFonts w:ascii="Times-Roman" w:hAnsi="Times-Roman" w:cs="Times-Roman"/>
          <w:sz w:val="20"/>
          <w:szCs w:val="20"/>
        </w:rPr>
        <w:t>- BV si impegna a convenire con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l’amministrazione aggiudicatrice (l’Ente di Governo del bacino di Rovigo)</w:t>
      </w:r>
      <w:r>
        <w:rPr>
          <w:rFonts w:ascii="Times-Roman" w:hAnsi="Times-Roman" w:cs="Times-Roman"/>
          <w:sz w:val="18"/>
          <w:szCs w:val="18"/>
        </w:rPr>
        <w:t xml:space="preserve">9 </w:t>
      </w:r>
      <w:r>
        <w:rPr>
          <w:rFonts w:ascii="Times-Roman" w:hAnsi="Times-Roman" w:cs="Times-Roman"/>
          <w:sz w:val="20"/>
          <w:szCs w:val="20"/>
        </w:rPr>
        <w:t>un cronoprogramma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vincolante relativo alla fornitura all’Ente di Governo del bacino di Rovigo di tutte le informazioni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 di tutti i dati necessari per completare l’elaborazione del bando e del disciplinare di gara,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individuate nel Prospetto 1 di cui all’Allegato A della delibera n. 49/2015 dell’ART</w:t>
      </w:r>
      <w:r>
        <w:rPr>
          <w:rFonts w:ascii="Times-Roman" w:hAnsi="Times-Roman" w:cs="Times-Roman"/>
          <w:sz w:val="18"/>
          <w:szCs w:val="18"/>
        </w:rPr>
        <w:t xml:space="preserve">10 </w:t>
      </w:r>
      <w:r>
        <w:rPr>
          <w:rFonts w:ascii="Times-Roman" w:hAnsi="Times-Roman" w:cs="Times-Roman"/>
          <w:sz w:val="20"/>
          <w:szCs w:val="20"/>
        </w:rPr>
        <w:t>e che non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siano già state fornite alla amministrazione aggiudicatrice, su sua richiesta, successivamente alla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pubblicazione dell’avviso di </w:t>
      </w:r>
      <w:proofErr w:type="spellStart"/>
      <w:r>
        <w:rPr>
          <w:rFonts w:ascii="Times-Roman" w:hAnsi="Times-Roman" w:cs="Times-Roman"/>
          <w:sz w:val="20"/>
          <w:szCs w:val="20"/>
        </w:rPr>
        <w:t>pre</w:t>
      </w:r>
      <w:proofErr w:type="spellEnd"/>
      <w:r>
        <w:rPr>
          <w:rFonts w:ascii="Times-Roman" w:hAnsi="Times-Roman" w:cs="Times-Roman"/>
          <w:sz w:val="20"/>
          <w:szCs w:val="20"/>
        </w:rPr>
        <w:t>-informazione relativo alla gara in oggetto</w:t>
      </w:r>
      <w:r>
        <w:rPr>
          <w:rFonts w:ascii="Times-Roman" w:hAnsi="Times-Roman" w:cs="Times-Roman"/>
          <w:sz w:val="18"/>
          <w:szCs w:val="18"/>
        </w:rPr>
        <w:t>11</w:t>
      </w:r>
      <w:r>
        <w:rPr>
          <w:rFonts w:ascii="Times-Roman" w:hAnsi="Times-Roman" w:cs="Times-Roman"/>
          <w:sz w:val="20"/>
          <w:szCs w:val="20"/>
        </w:rPr>
        <w:t>; (b)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cronoprogramma individuerà termini vincolanti differenziati in relazione alle diverse categorie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delle suddette informazioni e dei suddetti dati, che saranno identificate con riferimento al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Prospetto 1; (c) ai fini della raccolta, dell’elaborazione e della trasmissione delle informazioni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richieste entro i termini stabiliti dal cronoprogramma convenuto, sarà costituito all’interno di BV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un gruppo di lavoro composto da risorse qualificate delle aree tecnica, amministrativa e legale,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coordinate da un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team leader </w:t>
      </w:r>
      <w:r>
        <w:rPr>
          <w:rFonts w:ascii="Times-Roman" w:hAnsi="Times-Roman" w:cs="Times-Roman"/>
          <w:sz w:val="20"/>
          <w:szCs w:val="20"/>
        </w:rPr>
        <w:t>in funzione di referente esterno unico, il cui nominativo sarà fornito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all’amministrazione aggiudicatrice sin dall’adozione del cronoprogramma</w:t>
      </w:r>
      <w:r>
        <w:rPr>
          <w:rFonts w:ascii="Times-Roman" w:hAnsi="Times-Roman" w:cs="Times-Roman"/>
          <w:sz w:val="18"/>
          <w:szCs w:val="18"/>
        </w:rPr>
        <w:t>12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7 Cfr. doc. n. 115.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8 Gli attuali esercenti sono cinque, ma le attività di BV rappresentano circa l’85% del totale.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9 Contattandola entro 10 giorni dalla pubblicazione dell’avviso di </w:t>
      </w:r>
      <w:proofErr w:type="spellStart"/>
      <w:r>
        <w:rPr>
          <w:rFonts w:ascii="Times-Roman" w:hAnsi="Times-Roman" w:cs="Times-Roman"/>
          <w:sz w:val="16"/>
          <w:szCs w:val="16"/>
        </w:rPr>
        <w:t>pre</w:t>
      </w:r>
      <w:proofErr w:type="spellEnd"/>
      <w:r>
        <w:rPr>
          <w:rFonts w:ascii="Times-Roman" w:hAnsi="Times-Roman" w:cs="Times-Roman"/>
          <w:sz w:val="16"/>
          <w:szCs w:val="16"/>
        </w:rPr>
        <w:t>-informazione relativo alla nuova gara.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10 Recante: “Misure </w:t>
      </w:r>
      <w:proofErr w:type="spellStart"/>
      <w:r>
        <w:rPr>
          <w:rFonts w:ascii="Times-Roman" w:hAnsi="Times-Roman" w:cs="Times-Roman"/>
          <w:sz w:val="16"/>
          <w:szCs w:val="16"/>
        </w:rPr>
        <w:t>regolatorie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 per la redazione dei bandi e delle convenzioni relativi alle gare per l’assegnazione in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esclusiva dei servizi di trasporto pubblico locale passeggeri e definizione dei criteri per la nomina delle commissioni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aggiudicatrici e avvio di un procedimento per la definizione della metodologia per l’individuazione degli ambiti di servizio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pubblico e delle modalità più efficienti di finanziamento”.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11 GUUE S14 del 21/1/2016, Avviso di </w:t>
      </w:r>
      <w:proofErr w:type="spellStart"/>
      <w:r>
        <w:rPr>
          <w:rFonts w:ascii="Times-Roman" w:hAnsi="Times-Roman" w:cs="Times-Roman"/>
          <w:sz w:val="16"/>
          <w:szCs w:val="16"/>
        </w:rPr>
        <w:t>pre</w:t>
      </w:r>
      <w:proofErr w:type="spellEnd"/>
      <w:r>
        <w:rPr>
          <w:rFonts w:ascii="Times-Roman" w:hAnsi="Times-Roman" w:cs="Times-Roman"/>
          <w:sz w:val="16"/>
          <w:szCs w:val="16"/>
        </w:rPr>
        <w:t>-informazione relativo al contratto di servizio pubblico 2016/S014-019663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(Italia-Rovigo: servizi di trasporto pubblico terrestre).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12 Il termine convenuto per una data categoria di informazioni si riterrà rispettato solo nel caso e nel momento in cui 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informazioni siano state fornite in modo completo, secondo la ragionevole valutazione dell’amministrazione aggiudicatrice.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lastRenderedPageBreak/>
        <w:t>9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12. Sempre con riguardo alla prima tipologia di condotta contestata, e per quanto riguarda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esclusivamente la società BSN: (a) in relazione a ciascuna delle future gare pubbliche per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l’affidamento dei servizi di TPL nel bacino di Salerno e nei bacini </w:t>
      </w:r>
      <w:proofErr w:type="spellStart"/>
      <w:r>
        <w:rPr>
          <w:rFonts w:ascii="Times-Roman" w:hAnsi="Times-Roman" w:cs="Times-Roman"/>
          <w:sz w:val="20"/>
          <w:szCs w:val="20"/>
        </w:rPr>
        <w:t>nn</w:t>
      </w:r>
      <w:proofErr w:type="spellEnd"/>
      <w:r>
        <w:rPr>
          <w:rFonts w:ascii="Times-Roman" w:hAnsi="Times-Roman" w:cs="Times-Roman"/>
          <w:sz w:val="20"/>
          <w:szCs w:val="20"/>
        </w:rPr>
        <w:t>. 1, 2 e 3 dell’Umbria, nei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quali BSN è (indirettamente) l’attuale esercente - o uno degli attuali esercenti - del servizio stesso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virtù dei contratti di concessione in essere</w:t>
      </w:r>
      <w:r>
        <w:rPr>
          <w:rFonts w:ascii="Times-Roman" w:hAnsi="Times-Roman" w:cs="Times-Roman"/>
          <w:sz w:val="18"/>
          <w:szCs w:val="18"/>
        </w:rPr>
        <w:t>13</w:t>
      </w:r>
      <w:r>
        <w:rPr>
          <w:rFonts w:ascii="Times-Roman" w:hAnsi="Times-Roman" w:cs="Times-Roman"/>
          <w:sz w:val="20"/>
          <w:szCs w:val="20"/>
        </w:rPr>
        <w:t>, BSN si impegna a convenire con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l’amministrazione aggiudicatrice</w:t>
      </w:r>
      <w:r>
        <w:rPr>
          <w:rFonts w:ascii="Times-Roman" w:hAnsi="Times-Roman" w:cs="Times-Roman"/>
          <w:sz w:val="18"/>
          <w:szCs w:val="18"/>
        </w:rPr>
        <w:t xml:space="preserve">14 </w:t>
      </w:r>
      <w:r>
        <w:rPr>
          <w:rFonts w:ascii="Times-Roman" w:hAnsi="Times-Roman" w:cs="Times-Roman"/>
          <w:sz w:val="20"/>
          <w:szCs w:val="20"/>
        </w:rPr>
        <w:t>un cronoprogramma vincolante relativo alla fornitura da parte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 BSN all’amministrazione aggiudicatrice delle informazioni inerenti alla strutturazione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servizio, ai mezzi in uso, al personale, alle attrezzature e ai beni strumentali in uso, e in generale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tutte le informazioni e di tutti i dati necessari per completare l’elaborazione del bando e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disciplinare di gara, individuate nel Prospetto 1 di cui all’Allegato A della delibera n. 49/2015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dell’ART e che non siano già in possesso dell’amministrazione aggiudicatrice; (b) anche in tal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caso, il cronoprogramma individuerà termini vincolanti differenziati in relazione alle diverse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categorie delle suddette informazioni e dei suddetti dati, che saranno identificate con riferimento al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Prospetto 1 di cui all’Allegato A della delibera n. 49/2015 dell’ART; (c) inoltre, sempre ai fini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della raccolta, dell’elaborazione e della trasmissione delle informazioni richieste entro i termini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stabiliti dal cronoprogramma convenuto, sarà costituito all’interno dell’azienda esercente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servizio di TPL un gruppo di lavoro composto da risorse qualificate delle aree tecnica,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amministrativa e legale, coordinate da un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team leader </w:t>
      </w:r>
      <w:r>
        <w:rPr>
          <w:rFonts w:ascii="Times-Roman" w:hAnsi="Times-Roman" w:cs="Times-Roman"/>
          <w:sz w:val="20"/>
          <w:szCs w:val="20"/>
        </w:rPr>
        <w:t>in funzione di referente esterno unico il cui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nominativo sarà fornito all’amministrazione aggiudicatrice sin dall’adozione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cronoprogramma</w:t>
      </w:r>
      <w:r>
        <w:rPr>
          <w:rFonts w:ascii="Times-Roman" w:hAnsi="Times-Roman" w:cs="Times-Roman"/>
          <w:sz w:val="18"/>
          <w:szCs w:val="18"/>
        </w:rPr>
        <w:t>15</w:t>
      </w:r>
      <w:r>
        <w:rPr>
          <w:rFonts w:ascii="Times-Roman" w:hAnsi="Times-Roman" w:cs="Times-Roman"/>
          <w:sz w:val="20"/>
          <w:szCs w:val="20"/>
        </w:rPr>
        <w:t>; (d) infine, nel caso in cui, ad esito del contenzioso amministrativo in corso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relativo alla gara già esperita per l’affidamento dei servizi di TPL nel bacino coincidente con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l’intera circoscrizione regionale toscana</w:t>
      </w:r>
      <w:r>
        <w:rPr>
          <w:rFonts w:ascii="Times-Roman" w:hAnsi="Times-Roman" w:cs="Times-Roman"/>
          <w:sz w:val="18"/>
          <w:szCs w:val="18"/>
        </w:rPr>
        <w:t>16</w:t>
      </w:r>
      <w:r>
        <w:rPr>
          <w:rFonts w:ascii="Times-Roman" w:hAnsi="Times-Roman" w:cs="Times-Roman"/>
          <w:sz w:val="20"/>
          <w:szCs w:val="20"/>
        </w:rPr>
        <w:t>, la Regione Toscana dovesse decidere di indire una 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più nuove gare (ad esempio, per ambiti territoriali di minori dimensioni), l’impegno in questione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vincolerebbe BSN anche con riguardo alle eventuali future gare pubbliche che interessino gli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ambiti territoriali della Toscana in cui BSN è esercente servizi di TPL, con riferimento alle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informazioni e ai dati necessari per le amministrazioni aggiudicatrici a completare l’elaborazione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 bando e del disciplinare di gara, e che non siano già in possesso di tali amministrazioni.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13. In relazione alla seconda condotta contestata (par. 6, sub </w:t>
      </w:r>
      <w:r>
        <w:rPr>
          <w:rFonts w:ascii="Times-Italic" w:hAnsi="Times-Italic" w:cs="Times-Italic"/>
          <w:i/>
          <w:iCs/>
          <w:sz w:val="20"/>
          <w:szCs w:val="20"/>
        </w:rPr>
        <w:t>(ii</w:t>
      </w:r>
      <w:r>
        <w:rPr>
          <w:rFonts w:ascii="Times-Roman" w:hAnsi="Times-Roman" w:cs="Times-Roman"/>
          <w:sz w:val="20"/>
          <w:szCs w:val="20"/>
        </w:rPr>
        <w:t>)), BV si impegna ad astenersi dal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richiedere aumenti dell’attuale prezzo di vendita dei ticket SMS per il trasporto extraurbano, fino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alla data di aggiudicazione della futura gara per l'affidamento dei servizi di TPL nel bacino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Padova.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13 In relazione al bacino di Salerno, la società </w:t>
      </w:r>
      <w:proofErr w:type="spellStart"/>
      <w:r>
        <w:rPr>
          <w:rFonts w:ascii="Times-Roman" w:hAnsi="Times-Roman" w:cs="Times-Roman"/>
          <w:sz w:val="16"/>
          <w:szCs w:val="16"/>
        </w:rPr>
        <w:t>Busitalia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 Campania S.p.A., partecipata interamente da BSN, sta acquisendo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il ramo d’azienda di CSTP S.p.A. in amministrazione straordinaria, organizzato per l’esercizio dei servizi di TPL su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gomma nel territorio del Comune e della Provincia di Salerno. Nei bacini 1, 2 e 3 dell’Umbria, i servizi di TPL sono gestiti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rispettivamente da </w:t>
      </w:r>
      <w:proofErr w:type="spellStart"/>
      <w:r>
        <w:rPr>
          <w:rFonts w:ascii="Times-Roman" w:hAnsi="Times-Roman" w:cs="Times-Roman"/>
          <w:sz w:val="16"/>
          <w:szCs w:val="16"/>
        </w:rPr>
        <w:t>Ishtar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>
        <w:rPr>
          <w:rFonts w:ascii="Times-Roman" w:hAnsi="Times-Roman" w:cs="Times-Roman"/>
          <w:sz w:val="16"/>
          <w:szCs w:val="16"/>
        </w:rPr>
        <w:t>S.c.a.r.l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., TPL Mobilità </w:t>
      </w:r>
      <w:proofErr w:type="spellStart"/>
      <w:r>
        <w:rPr>
          <w:rFonts w:ascii="Times-Roman" w:hAnsi="Times-Roman" w:cs="Times-Roman"/>
          <w:sz w:val="16"/>
          <w:szCs w:val="16"/>
        </w:rPr>
        <w:t>S.c.a.r.l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. e ATC &amp; partner Mobilità </w:t>
      </w:r>
      <w:proofErr w:type="spellStart"/>
      <w:r>
        <w:rPr>
          <w:rFonts w:ascii="Times-Roman" w:hAnsi="Times-Roman" w:cs="Times-Roman"/>
          <w:sz w:val="16"/>
          <w:szCs w:val="16"/>
        </w:rPr>
        <w:t>S.c.a.r.l</w:t>
      </w:r>
      <w:proofErr w:type="spellEnd"/>
      <w:r>
        <w:rPr>
          <w:rFonts w:ascii="Times-Roman" w:hAnsi="Times-Roman" w:cs="Times-Roman"/>
          <w:sz w:val="16"/>
          <w:szCs w:val="16"/>
        </w:rPr>
        <w:t>., tutte società consortili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controllate da BSN.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14 Contattandola entro 10 giorni dalla pubblicazione dell’avviso di </w:t>
      </w:r>
      <w:proofErr w:type="spellStart"/>
      <w:r>
        <w:rPr>
          <w:rFonts w:ascii="Times-Roman" w:hAnsi="Times-Roman" w:cs="Times-Roman"/>
          <w:sz w:val="16"/>
          <w:szCs w:val="16"/>
        </w:rPr>
        <w:t>pre</w:t>
      </w:r>
      <w:proofErr w:type="spellEnd"/>
      <w:r>
        <w:rPr>
          <w:rFonts w:ascii="Times-Roman" w:hAnsi="Times-Roman" w:cs="Times-Roman"/>
          <w:sz w:val="16"/>
          <w:szCs w:val="16"/>
        </w:rPr>
        <w:t>-informazione relativo alla nuova gara.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15 Anche in tal caso, il termine convenuto per una data categoria di informazioni si riterrà rispettato solo nel caso e nel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momento in cui le informazioni siano state fornite in modo completo, secondo la ragionevole valutazione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dell’amministrazione aggiudicatrice.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16 Si tratta della procedura di gara avviata con avviso di </w:t>
      </w:r>
      <w:proofErr w:type="spellStart"/>
      <w:r>
        <w:rPr>
          <w:rFonts w:ascii="Times-Roman" w:hAnsi="Times-Roman" w:cs="Times-Roman"/>
          <w:sz w:val="16"/>
          <w:szCs w:val="16"/>
        </w:rPr>
        <w:t>pre</w:t>
      </w:r>
      <w:proofErr w:type="spellEnd"/>
      <w:r>
        <w:rPr>
          <w:rFonts w:ascii="Times-Roman" w:hAnsi="Times-Roman" w:cs="Times-Roman"/>
          <w:sz w:val="16"/>
          <w:szCs w:val="16"/>
        </w:rPr>
        <w:t>-informazione pubblicato sulla GUUE S194 del 5 ottobre 2013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e conclusasi con il provvedimento di aggiudicazione definitiva del 2 marzo 2016, tuttavia annullato dal TAR Toscana con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sentenza del 28 ottobre 2016 n. 1548.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2 017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10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V. LE OSSERVAZIONI SUGLI IMPEGNI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14. Entro i termini prefissati per le conclusioni del </w:t>
      </w:r>
      <w:r>
        <w:rPr>
          <w:rFonts w:ascii="Times-Italic" w:hAnsi="Times-Italic" w:cs="Times-Italic"/>
          <w:i/>
          <w:iCs/>
          <w:sz w:val="20"/>
          <w:szCs w:val="20"/>
        </w:rPr>
        <w:t>market test</w:t>
      </w:r>
      <w:r>
        <w:rPr>
          <w:rFonts w:ascii="Times-Roman" w:hAnsi="Times-Roman" w:cs="Times-Roman"/>
          <w:sz w:val="20"/>
          <w:szCs w:val="20"/>
        </w:rPr>
        <w:t>, sono pervenute osservazioni da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parte della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in data 13 gennaio 2017</w:t>
      </w:r>
      <w:r>
        <w:rPr>
          <w:rFonts w:ascii="Times-Roman" w:hAnsi="Times-Roman" w:cs="Times-Roman"/>
          <w:sz w:val="18"/>
          <w:szCs w:val="18"/>
        </w:rPr>
        <w:t xml:space="preserve">17 </w:t>
      </w:r>
      <w:r>
        <w:rPr>
          <w:rFonts w:ascii="Times-Roman" w:hAnsi="Times-Roman" w:cs="Times-Roman"/>
          <w:sz w:val="20"/>
          <w:szCs w:val="20"/>
        </w:rPr>
        <w:t>e di RATP DEV ITALIA S.r.l. (di seguito RATP) in data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8 febbraio 2017</w:t>
      </w:r>
      <w:r>
        <w:rPr>
          <w:rFonts w:ascii="Times-Roman" w:hAnsi="Times-Roman" w:cs="Times-Roman"/>
          <w:sz w:val="18"/>
          <w:szCs w:val="18"/>
        </w:rPr>
        <w:t>18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15. La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ha effettuato alcune osservazioni soltanto in relazione all’impegno volto a mantenere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l’attuale prezzo di vendita dei ticket SMS per il servizio extraurbano, relativo alla seconda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condotta contestata (par. 6, sub </w:t>
      </w:r>
      <w:r>
        <w:rPr>
          <w:rFonts w:ascii="Times-Italic" w:hAnsi="Times-Italic" w:cs="Times-Italic"/>
          <w:i/>
          <w:iCs/>
          <w:sz w:val="20"/>
          <w:szCs w:val="20"/>
        </w:rPr>
        <w:t>(ii</w:t>
      </w:r>
      <w:r>
        <w:rPr>
          <w:rFonts w:ascii="Times-Roman" w:hAnsi="Times-Roman" w:cs="Times-Roman"/>
          <w:sz w:val="20"/>
          <w:szCs w:val="20"/>
        </w:rPr>
        <w:t>)). La Provincia ritiene al riguardo che detto impegno debba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essere esteso anche ad eventuali altre forme di acquisto con modalità telematiche non ancora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adottate dall’azienda, visti i benefici per l’utenza connessi all’utilizzo di canali telematici.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16. RATP ha formulato una serie di osservazioni sugli impegni con riguardo alla prima e principale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condotta contestata (par. 6, sub </w:t>
      </w:r>
      <w:r>
        <w:rPr>
          <w:rFonts w:ascii="Times-Italic" w:hAnsi="Times-Italic" w:cs="Times-Italic"/>
          <w:i/>
          <w:iCs/>
          <w:sz w:val="20"/>
          <w:szCs w:val="20"/>
        </w:rPr>
        <w:t>(i</w:t>
      </w:r>
      <w:r>
        <w:rPr>
          <w:rFonts w:ascii="Times-Roman" w:hAnsi="Times-Roman" w:cs="Times-Roman"/>
          <w:sz w:val="20"/>
          <w:szCs w:val="20"/>
        </w:rPr>
        <w:t>)), che possono essere sostanzialmente riassunte in due categorie.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17. La prima categoria comprende osservazioni mirate a rafforzare l’efficacia degli impegni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assunti da BV e BSN. Ad esempio, in relazione alle informazioni relative rispettivamente al valore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ed alla consistenza dei beni immobili e mobili necessari allo svolgimento del servizio di TPL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all’interno del bacino di gara, RATP ha osservato che gli impegni non dovrebbero limitarsi al solo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invio delle informazioni contenute nel Prospetto 1 della delibera n. 49/2017 dell’ART, ma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dovrebbero specificare anche quanto previsto dalla misura 5, paragrafi 2 e 4, della delibera citata.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Infatti mentre il Prospetto 1 elenca in dettaglio tutte le informazioni da inserire in </w:t>
      </w:r>
      <w:r>
        <w:rPr>
          <w:rFonts w:ascii="Times-Italic" w:hAnsi="Times-Italic" w:cs="Times-Italic"/>
          <w:i/>
          <w:iCs/>
          <w:sz w:val="20"/>
          <w:szCs w:val="20"/>
        </w:rPr>
        <w:t>data room</w:t>
      </w:r>
      <w:r>
        <w:rPr>
          <w:rFonts w:ascii="Times-Roman" w:hAnsi="Times-Roman" w:cs="Times-Roman"/>
          <w:sz w:val="20"/>
          <w:szCs w:val="20"/>
        </w:rPr>
        <w:t>, 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misura 5 individua le modalità attraverso cui rendere alcune importanti informazioni (ad esempio,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 produzione di una perizia giurata per i beni immobili e di una certificazione di un revisore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contabile o di società incaricata del controllo contabile per i beni mobili). Ancora, per fare un altro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esempio, RATP ha auspicato una modifica degli impegni nel senso di prevedere anche l’obbligo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per le società nelle future gare nei bacini in cui esse sono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incumbent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di provvedere al periodico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aggiornamento delle informazioni in </w:t>
      </w:r>
      <w:r>
        <w:rPr>
          <w:rFonts w:ascii="Times-Italic" w:hAnsi="Times-Italic" w:cs="Times-Italic"/>
          <w:i/>
          <w:iCs/>
          <w:sz w:val="20"/>
          <w:szCs w:val="20"/>
        </w:rPr>
        <w:t>data room</w:t>
      </w:r>
      <w:r>
        <w:rPr>
          <w:rFonts w:ascii="Times-Roman" w:hAnsi="Times-Roman" w:cs="Times-Roman"/>
          <w:sz w:val="20"/>
          <w:szCs w:val="20"/>
        </w:rPr>
        <w:t>, fino all’aggiudicazione definitiva.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18. La seconda categoria di osservazioni formulate da RATP si riferisce a considerazioni ulteriori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rispetto alla condotta contestata nel presente procedimento.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primo luogo, RATP ritiene che la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lex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specialis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delle gare dovrebbe di regola prevedere un set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informativo più ampio rispetto a quello attualmente previsto dal Prospetto 1 dell’Allegato A alla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delibera n. 49/215 dell’ART</w:t>
      </w:r>
      <w:r>
        <w:rPr>
          <w:rFonts w:ascii="Times-Roman" w:hAnsi="Times-Roman" w:cs="Times-Roman"/>
          <w:sz w:val="18"/>
          <w:szCs w:val="18"/>
        </w:rPr>
        <w:t>19</w:t>
      </w:r>
      <w:r>
        <w:rPr>
          <w:rFonts w:ascii="Times-Roman" w:hAnsi="Times-Roman" w:cs="Times-Roman"/>
          <w:sz w:val="20"/>
          <w:szCs w:val="20"/>
        </w:rPr>
        <w:t>. In secondo luogo RATP osserva che l’</w:t>
      </w:r>
      <w:proofErr w:type="spellStart"/>
      <w:r>
        <w:rPr>
          <w:rFonts w:ascii="Times-Roman" w:hAnsi="Times-Roman" w:cs="Times-Roman"/>
          <w:sz w:val="20"/>
          <w:szCs w:val="20"/>
        </w:rPr>
        <w:t>incumbent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in un dato bacino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 gara dovrebbe adottare ulteriori comportamenti, in aggiunta alla fornitura tempestiva delle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informazioni (tema su cui verte il presente procedimento), al fine di garantire un effettivo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dispiegarsi della concorrenza in occasione delle gare. In particolare, RATP ritiene che fin dalla fase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prodromica alla gara gli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incumbent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debbano obbligarsi a fornire tutte le informazioni e i documenti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necessari a garantire il subentro del nuovo gestore (ci si riferisce ai dati relativi al trasferimento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personale e dei beni essenziali, oltre che ai dati per far funzionare gli applicativi informatici).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Infine, secondo RATP anche la stazione appaltante potrebbe adottare alcuni accorgimenti per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ridurre il rischio di condotte abusive al momento delle gare, in particolare modulando i termini per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17 Cfr. doc. 116.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18 Cfr. doc. 117.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19 Ad esempio, RATP ritiene che in data room debbano essere inserite informazioni ulteriori e più disaggregate rispetto 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quelle previste dalla delibera dell’ART, come, ad esempio, per quanto riguarda il personale, l’indicazione delle mansioni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effettive accanto a quelle sull’inquadramento oppure l’indicazione sul monte ferie, distinto per addetto.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11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 presentazione delle offerte e per l’avvio del servizio, in modo da garantire che il subentro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nuovo gestore avvenga senza comprometterne la continuità.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VI. LE MODIFICHE ACCESSORIE APPORTATE AGLI IMPEGNI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19. Ad esito della consultazione pubblica sugli impegni, in data 7 marzo 2017, BV e BSN hanno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presentato modifiche accessorie e provveduto a fornire una versione definitiva degli impegni,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allegata al presente provvedimento di cui costituisce parte integrante (allegato 1)</w:t>
      </w:r>
      <w:r>
        <w:rPr>
          <w:rFonts w:ascii="Times-Roman" w:hAnsi="Times-Roman" w:cs="Times-Roman"/>
          <w:sz w:val="18"/>
          <w:szCs w:val="18"/>
        </w:rPr>
        <w:t>20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20. Per quanto riguarda la principale condotta contestata (par. 6 sub </w:t>
      </w:r>
      <w:r>
        <w:rPr>
          <w:rFonts w:ascii="Times-Italic" w:hAnsi="Times-Italic" w:cs="Times-Italic"/>
          <w:i/>
          <w:iCs/>
          <w:sz w:val="20"/>
          <w:szCs w:val="20"/>
        </w:rPr>
        <w:t>(i</w:t>
      </w:r>
      <w:r>
        <w:rPr>
          <w:rFonts w:ascii="Times-Roman" w:hAnsi="Times-Roman" w:cs="Times-Roman"/>
          <w:sz w:val="20"/>
          <w:szCs w:val="20"/>
        </w:rPr>
        <w:t>)), in termini generali,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nell’ambito delle modifiche accessorie, le imprese hanno specificato che il comportamento assunto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 BV nell’ambito del procedimento cautelare, concretizzatosi con il deposito volontario delle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informazioni di propria competenza mancanti ai fini della predisposizione degli atti di gara -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costituisce parte integrante degli impegni, il cui contenuto è stato così anticipato con riguardo alla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gara per l’affidamento dei servizi di TPL nel Bacino di Padova.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21. Inoltre, BV ha presentato le seguenti modifiche accessorie: (i) con riguardo alla gara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Rovigo, l’impegno a convenire con l’amministrazione aggiudicatrice un cronoprogramma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vincolante relativo alla fornitura alla stazione appaltante di tutte le informazioni e di tutti i dati è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stato precisato nel senso che esso riguarda non solo le informazioni individuate nel Prospetto 1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dell’Allegato A della delibera n. 49/2015 dell’ART ma anche, per quanto di competenza di BV,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quelle indicate nella Misura 5, punti 2 e 4, del medesimo Allegato</w:t>
      </w:r>
      <w:r>
        <w:rPr>
          <w:rFonts w:ascii="Times-Roman" w:hAnsi="Times-Roman" w:cs="Times-Roman"/>
          <w:sz w:val="18"/>
          <w:szCs w:val="18"/>
        </w:rPr>
        <w:t>21</w:t>
      </w:r>
      <w:r>
        <w:rPr>
          <w:rFonts w:ascii="Times-Roman" w:hAnsi="Times-Roman" w:cs="Times-Roman"/>
          <w:sz w:val="20"/>
          <w:szCs w:val="20"/>
        </w:rPr>
        <w:t>. Inoltre, per facilitare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monitoraggio della fase di raccolta delle informazioni, BV ha modificato gli impegni, vincolandosi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comunicare tempestivamente all’Autorità l’adozione del cronoprogramma e l’avvenuto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completamento della raccolta; (ii) con riferimento alla gara del bacino di Padova, BV si è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impegnato anche a fornire tempestivamente gli aggiornamenti alle informazioni già comunicate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che l’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riterrà necessari, sino all’aggiudicazione definitiva della stessa.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22. BSN ha presentato analoghe modifiche accessorie in relazione a ciascuna delle future gare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pubbliche per l’affidamento dei servizi di TPL nel bacino di Salerno e nei bacini </w:t>
      </w:r>
      <w:proofErr w:type="spellStart"/>
      <w:r>
        <w:rPr>
          <w:rFonts w:ascii="Times-Roman" w:hAnsi="Times-Roman" w:cs="Times-Roman"/>
          <w:sz w:val="20"/>
          <w:szCs w:val="20"/>
        </w:rPr>
        <w:t>nn</w:t>
      </w:r>
      <w:proofErr w:type="spellEnd"/>
      <w:r>
        <w:rPr>
          <w:rFonts w:ascii="Times-Roman" w:hAnsi="Times-Roman" w:cs="Times-Roman"/>
          <w:sz w:val="20"/>
          <w:szCs w:val="20"/>
        </w:rPr>
        <w:t>. 1, 2 e 3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dell’Umbria, nonché nel bacino toscano, ove la Regione Toscana dovesse decidere di indire una 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più nuove gare interessanti ambiti territoriali della Toscana in cui BSN è esercente servizi di TPL.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23. Con riferimento alla seconda condotta contestata (par. 6 sub (</w:t>
      </w:r>
      <w:r>
        <w:rPr>
          <w:rFonts w:ascii="Times-Italic" w:hAnsi="Times-Italic" w:cs="Times-Italic"/>
          <w:i/>
          <w:iCs/>
          <w:sz w:val="20"/>
          <w:szCs w:val="20"/>
        </w:rPr>
        <w:t>ii</w:t>
      </w:r>
      <w:r>
        <w:rPr>
          <w:rFonts w:ascii="Times-Roman" w:hAnsi="Times-Roman" w:cs="Times-Roman"/>
          <w:sz w:val="20"/>
          <w:szCs w:val="20"/>
        </w:rPr>
        <w:t>)), infine, BV ha integrato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proprio impegno di astenersi dal richiedere aumenti dell’attuale prezzo di vendita dei ticket per il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trasporto extraurbano (fino alla data di aggiudicazione della gara padovana), oltre che tramite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SMS, anche tramite ulteriori forme di acquisto con modalità telematiche che dovessero essere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eventualmente adottate in futuro.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VII. LA VALUTAZIONE DEGLI IMPEGNI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24. Secondo quanto esposto nella parte in Fatto, il presente procedimento ha ad oggetto la verifica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 possibili restrizioni della concorrenza rilevanti ai sensi dell'art. 102 del TFUE e dell’art. 3 della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legge n. 287/90, imputabili a BV, BSN e APS, e consistenti: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(i) </w:t>
      </w:r>
      <w:r>
        <w:rPr>
          <w:rFonts w:ascii="Times-Roman" w:hAnsi="Times-Roman" w:cs="Times-Roman"/>
          <w:sz w:val="20"/>
          <w:szCs w:val="20"/>
        </w:rPr>
        <w:t>nell’aver ritardato e/o omesso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l’invio all’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di Padova di informazioni indispensabili a completare gli elaborati di gara per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20 Cfr. doc. n. 121.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21 Conseguentemente, il cronoprogramma individuerà termini vincolanti differenziati in relazione alle diverse categorie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delle suddette informazioni e dei suddetti dati, che saranno identificate sia con riferimento al Prospetto 1 che alla Misura 5.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2 017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lastRenderedPageBreak/>
        <w:t>12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l’affidamento dei servizi di TPL nel bacino padovano (art. 102 TFUE);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(ii) </w:t>
      </w:r>
      <w:r>
        <w:rPr>
          <w:rFonts w:ascii="Times-Roman" w:hAnsi="Times-Roman" w:cs="Times-Roman"/>
          <w:sz w:val="20"/>
          <w:szCs w:val="20"/>
        </w:rPr>
        <w:t>nella minaccia della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disattivazione del servizio di ticket SMS in caso di mancata autorizzazione della Provincia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Padova alla richiesta di aumento di prezzo (art. 3 l. 287/90).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25. Con riferimento alla condotta descritta sub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(i), </w:t>
      </w:r>
      <w:r>
        <w:rPr>
          <w:rFonts w:ascii="Times-Roman" w:hAnsi="Times-Roman" w:cs="Times-Roman"/>
          <w:sz w:val="20"/>
          <w:szCs w:val="20"/>
        </w:rPr>
        <w:t>l’Autorità contestualmente al provvedimento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avvio del procedimento istruttorio del 15 giugno 2016 ha avviato un procedimento cautelare ai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sensi dell’art. 14-bis della legge n. 287/90. Le informazioni indispensabili al completamento degli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elaborati di gara sono state fornite da BV e BSN nell’ambito del procedimento cautelare e da APS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dopo l’adozione della misura cautelare, in ottemperanza a quanto disposto dall’Autorità.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26. In considerazione di tale specifica circostanza, BV e BSN hanno presentato impegni che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comprendono sia il comportamento già anticipato in fase cautelare con riguardo al Bacino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Padova, sia comportamenti volti a scongiurare il rischio di analoghe condotte abusive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dell’operatore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incumbent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- attraverso ritardi o omissioni nella fornitura delle informazioni - in quei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bacini territoriali, che saranno interessati da gare in futuro, ed in cui BV o BSN esercitano 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totalità o una quota ampiamente maggioritaria dei servizi di TPL.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27. Quanto alla circostanza che APS, ancorché sia parte del presente procedimento, non ha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presentato alcun impegno, le seguenti osservazioni possono essere formulate. APS ha fornito 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informazioni richiesta dall’</w:t>
      </w:r>
      <w:proofErr w:type="spellStart"/>
      <w:r>
        <w:rPr>
          <w:rFonts w:ascii="Times-Roman" w:hAnsi="Times-Roman" w:cs="Times-Roman"/>
          <w:sz w:val="20"/>
          <w:szCs w:val="20"/>
        </w:rPr>
        <w:t>EdG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di Padova, ottemperando alla misura cautelare dell’Autorità. Dal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momento che la società non è presente in nessun bacino, si ritiene pertanto che non residuino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azioni nella disponibilità di APS stessa idonee ad incidere sulle condizioni concorrenziali dei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mercati del TPL.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28. BV e BSN hanno poi presentato modifiche accessorie agli impegni che recepiscono 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osservazioni al market test, nella misura in cui queste interessano le condotte contestate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concernono attività rientranti nella disponibilità delle imprese, come quelle della </w:t>
      </w:r>
      <w:proofErr w:type="spellStart"/>
      <w:r>
        <w:rPr>
          <w:rFonts w:ascii="Times-Roman" w:hAnsi="Times-Roman" w:cs="Times-Roman"/>
          <w:sz w:val="20"/>
          <w:szCs w:val="20"/>
        </w:rPr>
        <w:t>PdP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sul prezzo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dei ticket e quelle comprese nella prima categoria di osservazioni di RATP. Quanto alle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osservazioni di RATP comprese nella seconda categoria, esse riguardano invece profili non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inerenti alla principale condotta contestata o relativi ad attività di competenza di altri soggetti,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ovvero l’ART che, con delibera n. 49/2015, ha stabilito il contenuto del set informativo, e 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stazioni appaltanti che redigono i bandi di gara. Tali osservazioni non sono state dunque recepite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come modifiche accessorie agli impegni.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29. Nel complesso, le modifiche accessorie presentate chiariscono l’ambito di operatività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cronoprogramma, agevolando la fornitura di informazioni complete e tempestive, e vincolano 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imprese a fornire anche gli aggiornamenti che dovessero rendersi necessari durante lo svolgimento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delle gare nei bacini interessati dagli impegni.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30. Alla luce delle osservazioni al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market test </w:t>
      </w:r>
      <w:r>
        <w:rPr>
          <w:rFonts w:ascii="Times-Roman" w:hAnsi="Times-Roman" w:cs="Times-Roman"/>
          <w:sz w:val="20"/>
          <w:szCs w:val="20"/>
        </w:rPr>
        <w:t>e delle successive modifiche accessorie apposte da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BV e BSN, si ritiene che gli impegni presentati con riguardo alla condotta descritta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sub (i) </w:t>
      </w:r>
      <w:r>
        <w:rPr>
          <w:rFonts w:ascii="Times-Roman" w:hAnsi="Times-Roman" w:cs="Times-Roman"/>
          <w:sz w:val="20"/>
          <w:szCs w:val="20"/>
        </w:rPr>
        <w:t>possano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ricevere una valutazione positiva. Infatti, gli impegni superano le criticità concorrenziali relative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alla prima e principale contestazione contenuta nel provvedimento di avvio poiché, da un lato,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riproducono quanto compiuto in fase cautelare con riferimento al bacino di Padova, dall’altro,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appaiono idonei a rimuovere in futuro analoghe preoccupazioni concorrenziali in altri bacini;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preoccupazioni legate al rischio che l’operatore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incumbent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in un bacino di TPL interessato da una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13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gara usi l’asimmetria informativa di cui beneficia come leva per una condotta abusiva, rifiutando 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ritardando la fornitura dei dati necessari a predisporre gli atti di gara</w:t>
      </w:r>
      <w:r>
        <w:rPr>
          <w:rFonts w:ascii="Times-Roman" w:hAnsi="Times-Roman" w:cs="Times-Roman"/>
          <w:sz w:val="18"/>
          <w:szCs w:val="18"/>
        </w:rPr>
        <w:t>22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31. La valenza pro-concorrenziale degli impegni che vincolano le imprese a farsi parte attiva per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agevolare la fase di riscontro alle richieste di informazioni che le stazioni appaltanti inviano agli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incumbent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(in particolare attraverso un cronoprogramma vincolante, nonché mediante una più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consona organizzazione aziendale interna) si evince ove si consideri che i vantaggi, anche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informativi, di cui beneficia il gestore corrente, rappresentano un importante ostacolo per 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amministrazioni intenzionate ad aggiudicare i servizi di TPL con procedure competitive. Come è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stato evidenziato dall’Autorità nella propria indagine conoscitiva sul settore del TPL si tratta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uno dei principali fattori di criticità nel processo di apertura concorrenziale dei mercati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trasporto pubblico locale</w:t>
      </w:r>
      <w:r>
        <w:rPr>
          <w:rFonts w:ascii="Times-Roman" w:hAnsi="Times-Roman" w:cs="Times-Roman"/>
          <w:sz w:val="18"/>
          <w:szCs w:val="18"/>
        </w:rPr>
        <w:t>23</w:t>
      </w:r>
      <w:r>
        <w:rPr>
          <w:rFonts w:ascii="Times-Roman" w:hAnsi="Times-Roman" w:cs="Times-Roman"/>
          <w:sz w:val="20"/>
          <w:szCs w:val="20"/>
        </w:rPr>
        <w:t>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32. Peraltro, attraverso lo strumento del cronoprogramma vincolante condiviso con la stazione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appaltante viene garantito un più sicuro rispetto dei tempi previsti per bandire la gara, riducendo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così anche il rischio di contenzioso.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33. Anche in relazione alla seconda condotta descritta sub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(ii) </w:t>
      </w:r>
      <w:r>
        <w:rPr>
          <w:rFonts w:ascii="Times-Roman" w:hAnsi="Times-Roman" w:cs="Times-Roman"/>
          <w:sz w:val="20"/>
          <w:szCs w:val="20"/>
        </w:rPr>
        <w:t>relativa ai ticket SMS, l’impegno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BV, come modificato con la previsione di astenersi dal richiedere aumenti dell’attuale prezzo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vendita, non solo per i ticket SMS, ma anche per i biglietti venduti con altre modalità elettroniche,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è suscettibile di condurre alla definitiva rimozione dei profili anticoncorrenziali rilevati, venendo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meno il rischio di ogni utilizzo abusivo della leva del prezzo. Inoltre, a seguito della modifica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accessoria, l’impegno prende in considerazione l’attuale contesto di rapido sviluppo delle modalità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elettroniche di vendita dei biglietti, con benefici per i consumatori.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34. In definitiva, si ritiene che gli impegni presentati da BV e BSN siano idonei a far venire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complessivamente meno le preoccupazioni concorrenziali oggetto dell’istruttoria.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RITENUTA l’idoneità complessiva degli impegni presentati dalle società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 a risolvere le preoccupazioni concorrenziali oggetto di istruttoria;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RITENUTO che non residuano attività nella disponibilità di APS Holding S.p.A. suscettibili di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incidere sulle condizioni concorrenziali nei mercati dei servizi di TPL;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RITENUTO di disporre l’obbligatorietà degli impegni presentati da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S.r.l.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>ter</w:t>
      </w:r>
      <w:r>
        <w:rPr>
          <w:rFonts w:ascii="Times-Roman" w:hAnsi="Times-Roman" w:cs="Times-Roman"/>
          <w:sz w:val="20"/>
          <w:szCs w:val="20"/>
        </w:rPr>
        <w:t>, comma 1, della legge n. 287/90;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Tutto ciò premesso e considerato: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DELIBERA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a) di rendere obbligatori per le società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Veneto S.p.A. e </w:t>
      </w:r>
      <w:proofErr w:type="spellStart"/>
      <w:r>
        <w:rPr>
          <w:rFonts w:ascii="Times-Roman" w:hAnsi="Times-Roman" w:cs="Times-Roman"/>
          <w:sz w:val="20"/>
          <w:szCs w:val="20"/>
        </w:rPr>
        <w:t>Busitalia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Sita Nord S.r.l gli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impegni presentati,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>ter</w:t>
      </w:r>
      <w:r>
        <w:rPr>
          <w:rFonts w:ascii="Times-Roman" w:hAnsi="Times-Roman" w:cs="Times-Roman"/>
          <w:sz w:val="20"/>
          <w:szCs w:val="20"/>
        </w:rPr>
        <w:t>, comma 1, della legge n. 287/90, nei termini sopra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descritti e allegati al presente provvedimento di cui fanno parte integrante;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22 Sul punto cfr. anche il provvedimento dell’Autorità n. 16597 del 21 marzo 2007 A364 Merck-Principi attivi.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23 Cfr. IC47, Condizioni concorrenziali nei mercati del trasporto pubblico locale.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2 017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14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bookmarkStart w:id="0" w:name="_GoBack"/>
      <w:bookmarkEnd w:id="0"/>
      <w:r>
        <w:rPr>
          <w:rFonts w:ascii="Times-Roman" w:hAnsi="Times-Roman" w:cs="Times-Roman"/>
          <w:sz w:val="20"/>
          <w:szCs w:val="20"/>
        </w:rPr>
        <w:t>b) di chiudere il procedimento senza accertare l’infrazione nei confronti di tutte le società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coinvolte, ai sensi dell’articolo 14-</w:t>
      </w:r>
      <w:r>
        <w:rPr>
          <w:rFonts w:ascii="Times-Italic" w:hAnsi="Times-Italic" w:cs="Times-Italic"/>
          <w:i/>
          <w:iCs/>
          <w:sz w:val="20"/>
          <w:szCs w:val="20"/>
        </w:rPr>
        <w:t>ter</w:t>
      </w:r>
      <w:r>
        <w:rPr>
          <w:rFonts w:ascii="Times-Roman" w:hAnsi="Times-Roman" w:cs="Times-Roman"/>
          <w:sz w:val="20"/>
          <w:szCs w:val="20"/>
        </w:rPr>
        <w:t>, comma 1, della legge n. 287/90;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c) che le società di cui al punto a) informino l’Autorità delle azioni intraprese per dare esecuzione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agli impegni assunti, trasmettendo all’Autorità: (i) entro un anno dalla notifica del presente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provvedimento una relazione volta ad illustrare lo stato delle gare interessate dagli impegni; (ii)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entro 30 giorni dall’avvio, da parte della stazione appaltante, della fase di reperimento delle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informazioni destinate alla </w:t>
      </w:r>
      <w:r>
        <w:rPr>
          <w:rFonts w:ascii="Times-Italic" w:hAnsi="Times-Italic" w:cs="Times-Italic"/>
          <w:i/>
          <w:iCs/>
          <w:sz w:val="20"/>
          <w:szCs w:val="20"/>
        </w:rPr>
        <w:t>data room</w:t>
      </w:r>
      <w:r>
        <w:rPr>
          <w:rFonts w:ascii="Times-Roman" w:hAnsi="Times-Roman" w:cs="Times-Roman"/>
          <w:sz w:val="20"/>
          <w:szCs w:val="20"/>
        </w:rPr>
        <w:t>, una comunicazione che dia conto di tale avvio, per ciascuna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gara interessata dagli impegni.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presente provvedimento sarà notificato ai soggetti interessati e pubblicato nel Bollettino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dell’Autorità Garante della Concorrenza e del Mercato.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Avverso il presente provvedimento può essere presentato ricorso al TAR del Lazio, ai sensi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dell’articolo 135, comma 1, lettera </w:t>
      </w:r>
      <w:r>
        <w:rPr>
          <w:rFonts w:ascii="Times-Italic" w:hAnsi="Times-Italic" w:cs="Times-Italic"/>
          <w:i/>
          <w:iCs/>
          <w:sz w:val="20"/>
          <w:szCs w:val="20"/>
        </w:rPr>
        <w:t>b</w:t>
      </w:r>
      <w:r>
        <w:rPr>
          <w:rFonts w:ascii="Times-Roman" w:hAnsi="Times-Roman" w:cs="Times-Roman"/>
          <w:sz w:val="20"/>
          <w:szCs w:val="20"/>
        </w:rPr>
        <w:t>), del Codice del processo amministrativo (Decreto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Legislativo 2 luglio 2010, n. 104), entro sessanta giorni dalla data di notificazione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provvedimento stesso, fatti salvi i maggiori termini di cui all’articolo 41, comma 5, del Codice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processo amministrativo, ovvero può essere proposto ricorso straordinario al Presidente della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Repubblica, ai sensi dell’articolo 8, comma 2, del Decreto del Presidente della Repubblica 24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novembre 1971, n. 1199, entro il termine di centoventi giorni dalla data di notificazione del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provvedimento stesso.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SEGRETARIO GENERALE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Roberto Chieppa</w:t>
      </w:r>
    </w:p>
    <w:p w:rsidR="008E10E1" w:rsidRDefault="008E10E1" w:rsidP="008E10E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PRESIDENTE</w:t>
      </w:r>
    </w:p>
    <w:p w:rsidR="006E65AA" w:rsidRDefault="008E10E1" w:rsidP="008E10E1">
      <w:r>
        <w:rPr>
          <w:rFonts w:ascii="Times-Italic" w:hAnsi="Times-Italic" w:cs="Times-Italic"/>
          <w:i/>
          <w:iCs/>
          <w:sz w:val="20"/>
          <w:szCs w:val="20"/>
        </w:rPr>
        <w:t>Giovanni</w:t>
      </w:r>
    </w:p>
    <w:sectPr w:rsidR="006E65AA" w:rsidSect="008E10E1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MS,Bold-OneByteIdent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BoldItalic-OneByte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0E1"/>
    <w:rsid w:val="006E65AA"/>
    <w:rsid w:val="008E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5007</Words>
  <Characters>28542</Characters>
  <Application>Microsoft Office Word</Application>
  <DocSecurity>0</DocSecurity>
  <Lines>237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luciano2013</dc:creator>
  <cp:lastModifiedBy>luciano2013</cp:lastModifiedBy>
  <cp:revision>1</cp:revision>
  <dcterms:created xsi:type="dcterms:W3CDTF">2017-05-29T18:04:00Z</dcterms:created>
  <dcterms:modified xsi:type="dcterms:W3CDTF">2017-05-29T18:09:00Z</dcterms:modified>
</cp:coreProperties>
</file>